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2F" w:rsidRDefault="009739C6">
      <w:r>
        <w:rPr>
          <w:noProof/>
        </w:rPr>
        <w:pict>
          <v:rect id="_x0000_s2200" style="position:absolute;margin-left:.5pt;margin-top:211.05pt;width:534.7pt;height:62.2pt;z-index:251667456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2200;mso-fit-shape-to-text:t" inset="14.4pt,,14.4pt">
              <w:txbxContent>
                <w:p w:rsidR="00A13F2F" w:rsidRPr="00EA6551" w:rsidRDefault="00EA4AC9">
                  <w:pPr>
                    <w:pStyle w:val="aa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標楷體" w:eastAsia="標楷體" w:hAnsi="標楷體" w:hint="eastAsia"/>
                      <w:color w:val="FFFFFF"/>
                      <w:sz w:val="72"/>
                      <w:szCs w:val="72"/>
                    </w:rPr>
                    <w:t>課程地圖及生涯路徑</w:t>
                  </w:r>
                  <w:r w:rsidR="00A13F2F" w:rsidRPr="00EA6551">
                    <w:rPr>
                      <w:rFonts w:ascii="標楷體" w:eastAsia="標楷體" w:hAnsi="標楷體" w:hint="eastAsia"/>
                      <w:color w:val="FFFFFF"/>
                      <w:sz w:val="72"/>
                      <w:szCs w:val="72"/>
                    </w:rPr>
                    <w:t>圖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2194" style="position:absolute;margin-left:2686.75pt;margin-top:0;width:238.1pt;height:841.9pt;z-index:25166540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219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2196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2197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219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2198" inset="28.8pt,14.4pt,14.4pt,14.4pt">
                <w:txbxContent>
                  <w:p w:rsidR="00A13F2F" w:rsidRPr="00EA6551" w:rsidRDefault="00124F13" w:rsidP="00EA6551">
                    <w:pPr>
                      <w:pStyle w:val="aa"/>
                      <w:ind w:firstLineChars="196" w:firstLine="188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noProof/>
                        <w:color w:val="FFFFFF"/>
                        <w:sz w:val="96"/>
                        <w:szCs w:val="96"/>
                      </w:rPr>
                      <w:drawing>
                        <wp:inline distT="0" distB="0" distL="0" distR="0">
                          <wp:extent cx="774700" cy="774700"/>
                          <wp:effectExtent l="19050" t="0" r="6350" b="0"/>
                          <wp:docPr id="5" name="圖片 4" descr="ndhu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4" descr="ndhu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4700" cy="77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2199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2199" inset="28.8pt,14.4pt,14.4pt,14.4pt">
                <w:txbxContent>
                  <w:p w:rsidR="00A13F2F" w:rsidRPr="00124F13" w:rsidRDefault="00A13F2F" w:rsidP="00124F13"/>
                </w:txbxContent>
              </v:textbox>
            </v:rect>
            <w10:wrap anchorx="page" anchory="page"/>
          </v:group>
        </w:pict>
      </w:r>
    </w:p>
    <w:p w:rsidR="00A13F2F" w:rsidRDefault="00A13F2F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  <w:r w:rsidRPr="00A13F2F">
        <w:rPr>
          <w:rFonts w:ascii="標楷體" w:eastAsia="標楷體" w:hAnsi="標楷體" w:hint="eastAsia"/>
          <w:b/>
          <w:bCs/>
          <w:color w:val="404040"/>
          <w:sz w:val="80"/>
          <w:szCs w:val="80"/>
        </w:rPr>
        <w:t>國立東華大學</w:t>
      </w:r>
    </w:p>
    <w:p w:rsidR="00797E45" w:rsidRPr="00797E45" w:rsidRDefault="00EA6551" w:rsidP="00797E45">
      <w:pPr>
        <w:pStyle w:val="aa"/>
        <w:spacing w:line="360" w:lineRule="auto"/>
        <w:rPr>
          <w:color w:val="FFFFFF"/>
          <w:sz w:val="60"/>
          <w:szCs w:val="60"/>
        </w:rPr>
      </w:pPr>
      <w:r>
        <w:rPr>
          <w:rFonts w:ascii="標楷體" w:eastAsia="標楷體" w:hAnsi="標楷體" w:hint="eastAsia"/>
          <w:sz w:val="60"/>
          <w:szCs w:val="60"/>
        </w:rPr>
        <w:t>財務金融學系</w:t>
      </w:r>
    </w:p>
    <w:p w:rsidR="00A13F2F" w:rsidRPr="00A13F2F" w:rsidRDefault="00A13F2F" w:rsidP="00A13F2F">
      <w:pPr>
        <w:pStyle w:val="aa"/>
        <w:ind w:firstLineChars="294" w:firstLine="1766"/>
        <w:rPr>
          <w:rFonts w:ascii="標楷體" w:eastAsia="標楷體" w:hAnsi="標楷體"/>
          <w:b/>
          <w:bCs/>
          <w:color w:val="215868"/>
          <w:sz w:val="60"/>
          <w:szCs w:val="60"/>
        </w:rPr>
      </w:pPr>
    </w:p>
    <w:p w:rsidR="00A13F2F" w:rsidRPr="00A13F2F" w:rsidRDefault="00A13F2F" w:rsidP="00A13F2F">
      <w:pPr>
        <w:pStyle w:val="Web"/>
        <w:spacing w:before="30" w:beforeAutospacing="0" w:after="30" w:afterAutospacing="0" w:line="360" w:lineRule="auto"/>
        <w:rPr>
          <w:rFonts w:ascii="標楷體" w:eastAsia="標楷體" w:hAnsi="標楷體"/>
          <w:b/>
          <w:color w:val="404040"/>
          <w:sz w:val="60"/>
          <w:szCs w:val="60"/>
          <w:u w:val="single"/>
        </w:rPr>
      </w:pPr>
    </w:p>
    <w:p w:rsidR="00A901C0" w:rsidRDefault="00124F13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  <w:r>
        <w:rPr>
          <w:rFonts w:ascii="標楷體" w:eastAsia="標楷體" w:hAnsi="標楷體"/>
          <w:b/>
          <w:noProof/>
          <w:color w:val="0000FF"/>
          <w:sz w:val="60"/>
          <w:szCs w:val="60"/>
          <w:u w:val="single"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552821" cy="3706495"/>
            <wp:effectExtent l="95250" t="38100" r="47879" b="65405"/>
            <wp:wrapNone/>
            <wp:docPr id="164" name="Picture 1" descr="moti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21" cy="3706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A901C0" w:rsidRDefault="00A901C0">
      <w:pPr>
        <w:widowControl/>
        <w:rPr>
          <w:rFonts w:ascii="標楷體" w:eastAsia="標楷體" w:hAnsi="標楷體" w:cs="新細明體"/>
          <w:b/>
          <w:color w:val="0000FF"/>
          <w:kern w:val="0"/>
          <w:sz w:val="60"/>
          <w:szCs w:val="60"/>
          <w:u w:val="single"/>
        </w:rPr>
      </w:pPr>
    </w:p>
    <w:p w:rsidR="00124F13" w:rsidRDefault="00124F13" w:rsidP="009B36FD">
      <w:pPr>
        <w:pStyle w:val="Web"/>
        <w:spacing w:before="30" w:beforeAutospacing="0" w:after="30" w:afterAutospacing="0" w:line="360" w:lineRule="auto"/>
        <w:jc w:val="center"/>
        <w:rPr>
          <w:rFonts w:ascii="標楷體" w:eastAsia="標楷體" w:hAnsi="標楷體" w:hint="eastAsia"/>
          <w:b/>
          <w:color w:val="0000FF"/>
          <w:sz w:val="60"/>
          <w:szCs w:val="60"/>
          <w:u w:val="single"/>
        </w:rPr>
      </w:pPr>
    </w:p>
    <w:p w:rsidR="00124F13" w:rsidRDefault="00124F13" w:rsidP="009B36FD">
      <w:pPr>
        <w:pStyle w:val="Web"/>
        <w:spacing w:before="30" w:beforeAutospacing="0" w:after="30" w:afterAutospacing="0" w:line="360" w:lineRule="auto"/>
        <w:jc w:val="center"/>
        <w:rPr>
          <w:rFonts w:ascii="標楷體" w:eastAsia="標楷體" w:hAnsi="標楷體" w:hint="eastAsia"/>
          <w:b/>
          <w:color w:val="0000FF"/>
          <w:sz w:val="60"/>
          <w:szCs w:val="60"/>
          <w:u w:val="single"/>
        </w:rPr>
      </w:pPr>
    </w:p>
    <w:p w:rsidR="009B36FD" w:rsidRPr="008A406D" w:rsidRDefault="009B36FD" w:rsidP="009B36FD">
      <w:pPr>
        <w:pStyle w:val="Web"/>
        <w:spacing w:before="30" w:beforeAutospacing="0" w:after="30" w:afterAutospacing="0" w:line="360" w:lineRule="auto"/>
        <w:jc w:val="center"/>
        <w:rPr>
          <w:rFonts w:ascii="華康粗黑體" w:eastAsia="華康粗黑體" w:hAnsi="華康粗黑體"/>
          <w:b/>
          <w:color w:val="4A442A"/>
          <w:sz w:val="60"/>
          <w:szCs w:val="60"/>
          <w:u w:val="single"/>
        </w:rPr>
      </w:pPr>
      <w:r w:rsidRPr="008A406D">
        <w:rPr>
          <w:rFonts w:ascii="華康粗黑體" w:eastAsia="華康粗黑體" w:hAnsi="華康粗黑體" w:hint="eastAsia"/>
          <w:b/>
          <w:color w:val="4A442A"/>
          <w:sz w:val="60"/>
          <w:szCs w:val="60"/>
          <w:u w:val="single"/>
        </w:rPr>
        <w:lastRenderedPageBreak/>
        <w:t>財金系學程規劃表</w:t>
      </w:r>
    </w:p>
    <w:p w:rsidR="00AF3678" w:rsidRPr="00E74195" w:rsidRDefault="009739C6" w:rsidP="009B36FD">
      <w:pPr>
        <w:pStyle w:val="Web"/>
        <w:spacing w:before="30" w:beforeAutospacing="0" w:after="30" w:afterAutospacing="0" w:line="360" w:lineRule="auto"/>
        <w:jc w:val="center"/>
        <w:rPr>
          <w:rFonts w:ascii="標楷體" w:eastAsia="標楷體" w:hAnsi="標楷體"/>
          <w:b/>
          <w:color w:val="0000FF"/>
          <w:u w:val="single"/>
        </w:rPr>
      </w:pPr>
      <w:r w:rsidRPr="009739C6">
        <w:rPr>
          <w:noProof/>
        </w:rPr>
        <w:pict>
          <v:roundrect id="_x0000_s2080" style="position:absolute;left:0;text-align:left;margin-left:55.45pt;margin-top:.3pt;width:306.15pt;height:37.3pt;z-index:251659264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o:extrusion v:ext="view" viewpoint="-34.72222mm" viewpointorigin="-.5" skewangle="-45" lightposition="-50000" lightposition2="50000"/>
            <v:textbox style="mso-next-textbox:#_x0000_s2080">
              <w:txbxContent>
                <w:p w:rsidR="00D84869" w:rsidRPr="00892551" w:rsidRDefault="00D84869" w:rsidP="00E74195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b/>
                      <w:color w:val="4A442A"/>
                      <w:sz w:val="48"/>
                      <w:szCs w:val="48"/>
                    </w:rPr>
                  </w:pPr>
                  <w:r w:rsidRPr="00892551">
                    <w:rPr>
                      <w:rFonts w:ascii="標楷體" w:eastAsia="標楷體" w:hAnsi="標楷體" w:hint="eastAsia"/>
                      <w:b/>
                      <w:color w:val="4A442A"/>
                      <w:sz w:val="48"/>
                      <w:szCs w:val="48"/>
                    </w:rPr>
                    <w:t>財金系學程規劃</w:t>
                  </w:r>
                </w:p>
                <w:p w:rsidR="00D84869" w:rsidRPr="00892551" w:rsidRDefault="00D84869">
                  <w:pPr>
                    <w:rPr>
                      <w:color w:val="4A442A"/>
                    </w:rPr>
                  </w:pPr>
                </w:p>
              </w:txbxContent>
            </v:textbox>
          </v:roundrect>
        </w:pict>
      </w:r>
    </w:p>
    <w:p w:rsidR="00314646" w:rsidRDefault="009739C6" w:rsidP="009B36FD">
      <w:pPr>
        <w:pStyle w:val="Web"/>
        <w:spacing w:before="30" w:beforeAutospacing="0" w:after="30" w:afterAutospacing="0" w:line="360" w:lineRule="auto"/>
        <w:jc w:val="both"/>
      </w:pPr>
      <w:r>
        <w:rPr>
          <w:noProof/>
        </w:rPr>
        <w:pict>
          <v:line id="_x0000_s2069" style="position:absolute;left:0;text-align:left;z-index:251649024" from="192.4pt,9.1pt" to="192.4pt,19.7pt" strokecolor="navy" strokeweight="2.25pt"/>
        </w:pict>
      </w:r>
      <w:r>
        <w:rPr>
          <w:noProof/>
        </w:rPr>
        <w:pict>
          <v:line id="_x0000_s2081" style="position:absolute;left:0;text-align:left;z-index:251660288" from="318.3pt,19.8pt" to="318.3pt,31.15pt" strokecolor="navy" strokeweight="2.25pt"/>
        </w:pict>
      </w:r>
      <w:r>
        <w:rPr>
          <w:noProof/>
        </w:rPr>
        <w:pict>
          <v:line id="_x0000_s2070" style="position:absolute;left:0;text-align:left;z-index:251650048" from="84.7pt,19.65pt" to="84.7pt,31pt" strokecolor="navy" strokeweight="2.25pt"/>
        </w:pict>
      </w:r>
      <w:r>
        <w:rPr>
          <w:noProof/>
        </w:rPr>
        <w:pict>
          <v:line id="_x0000_s2072" style="position:absolute;left:0;text-align:left;z-index:251651072" from="84.7pt,20.7pt" to="319.05pt,20.7pt" strokecolor="navy" strokeweight="2.25pt"/>
        </w:pict>
      </w:r>
    </w:p>
    <w:p w:rsidR="00314646" w:rsidRDefault="009739C6" w:rsidP="009B36FD">
      <w:pPr>
        <w:pStyle w:val="Web"/>
        <w:spacing w:before="30" w:beforeAutospacing="0" w:after="30" w:afterAutospacing="0" w:line="360" w:lineRule="auto"/>
        <w:jc w:val="both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82" type="#_x0000_t176" style="position:absolute;left:0;text-align:left;margin-left:191.95pt;margin-top:2.65pt;width:237.55pt;height:184.4pt;z-index:2516613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2082">
              <w:txbxContent>
                <w:p w:rsidR="00D84869" w:rsidRPr="00263DF1" w:rsidRDefault="00D84869" w:rsidP="00263DF1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sz w:val="20"/>
                      <w:szCs w:val="20"/>
                    </w:rPr>
                  </w:pPr>
                  <w:r w:rsidRPr="00263DF1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財金系基礎核心課程</w:t>
                  </w:r>
                  <w:r w:rsidRPr="00314646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(共27學分)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經濟學原理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-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總體篇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微積分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二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會計學原理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二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財務數學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統計學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二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財務軟體應用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計量經濟學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C1697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數理統計學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/>
                      <w:kern w:val="0"/>
                    </w:rPr>
                    <w:t>)</w:t>
                  </w:r>
                </w:p>
                <w:p w:rsidR="00D84869" w:rsidRPr="00D84869" w:rsidRDefault="00D84869" w:rsidP="00DC1697">
                  <w:pPr>
                    <w:pStyle w:val="a9"/>
                    <w:numPr>
                      <w:ilvl w:val="0"/>
                      <w:numId w:val="1"/>
                    </w:numPr>
                    <w:spacing w:line="320" w:lineRule="exact"/>
                    <w:ind w:leftChars="0" w:left="0" w:firstLine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 w:hint="eastAsia"/>
                      <w:kern w:val="0"/>
                    </w:rPr>
                    <w:t>財經英文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7" type="#_x0000_t176" style="position:absolute;left:0;text-align:left;margin-left:-6.35pt;margin-top:2.5pt;width:181.75pt;height:151.05pt;z-index:2516480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2067">
              <w:txbxContent>
                <w:p w:rsidR="009B36FD" w:rsidRPr="009B36FD" w:rsidRDefault="009B36FD" w:rsidP="00D84869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9B36FD"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  <w:t>管院基礎課程</w:t>
                  </w:r>
                  <w:r w:rsidRPr="00314646">
                    <w:rPr>
                      <w:rFonts w:ascii="標楷體" w:eastAsia="標楷體" w:hAnsi="標楷體" w:hint="eastAsia"/>
                      <w:b/>
                      <w:sz w:val="20"/>
                      <w:szCs w:val="20"/>
                    </w:rPr>
                    <w:t>(共21學分)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kern w:val="0"/>
                    </w:rPr>
                  </w:pPr>
                  <w:r w:rsidRPr="00DC1697">
                    <w:rPr>
                      <w:rFonts w:ascii="標楷體" w:eastAsia="標楷體" w:hAnsi="標楷體"/>
                      <w:kern w:val="0"/>
                    </w:rPr>
                    <w:t>經濟學原理-個體篇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微積分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)</w:t>
                  </w: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 xml:space="preserve"> 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會計學原理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)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管理學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商用英文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商事法</w:t>
                  </w:r>
                </w:p>
                <w:p w:rsidR="009B36FD" w:rsidRPr="00DC1697" w:rsidRDefault="009B36FD" w:rsidP="00DC1697">
                  <w:pPr>
                    <w:pStyle w:val="a9"/>
                    <w:numPr>
                      <w:ilvl w:val="0"/>
                      <w:numId w:val="6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</w:rPr>
                  </w:pP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統計學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(</w:t>
                  </w:r>
                  <w:r w:rsidRPr="00DC1697">
                    <w:rPr>
                      <w:rFonts w:ascii="標楷體" w:eastAsia="標楷體" w:hAnsi="標楷體" w:cs="ArialUnicodeMS-WinCharSetFFFF-H" w:hint="eastAsia"/>
                      <w:kern w:val="0"/>
                    </w:rPr>
                    <w:t>一</w:t>
                  </w:r>
                  <w:r w:rsidRPr="00DC1697">
                    <w:rPr>
                      <w:rFonts w:ascii="標楷體" w:eastAsia="標楷體" w:hAnsi="標楷體" w:cs="ArialUnicodeMS-WinCharSetFFFF-H"/>
                      <w:kern w:val="0"/>
                    </w:rPr>
                    <w:t>)</w:t>
                  </w:r>
                </w:p>
              </w:txbxContent>
            </v:textbox>
          </v:shape>
        </w:pict>
      </w:r>
    </w:p>
    <w:p w:rsidR="009B36FD" w:rsidRDefault="009B36FD" w:rsidP="009B36FD">
      <w:pPr>
        <w:pStyle w:val="Web"/>
        <w:spacing w:before="30" w:beforeAutospacing="0" w:after="30" w:afterAutospacing="0" w:line="360" w:lineRule="auto"/>
        <w:jc w:val="both"/>
      </w:pPr>
    </w:p>
    <w:p w:rsidR="009B36FD" w:rsidRDefault="009B36FD" w:rsidP="009B36FD">
      <w:pPr>
        <w:pStyle w:val="Web"/>
        <w:spacing w:before="30" w:beforeAutospacing="0" w:after="30" w:afterAutospacing="0" w:line="360" w:lineRule="auto"/>
        <w:jc w:val="both"/>
      </w:pPr>
    </w:p>
    <w:p w:rsidR="009B36FD" w:rsidRDefault="009B36FD" w:rsidP="009B36FD">
      <w:pPr>
        <w:pStyle w:val="Web"/>
        <w:spacing w:before="30" w:beforeAutospacing="0" w:after="30" w:afterAutospacing="0" w:line="360" w:lineRule="auto"/>
        <w:jc w:val="both"/>
      </w:pPr>
    </w:p>
    <w:p w:rsidR="009B36FD" w:rsidRDefault="009B36FD" w:rsidP="009B36FD">
      <w:pPr>
        <w:pStyle w:val="Web"/>
        <w:spacing w:before="30" w:beforeAutospacing="0" w:after="30" w:afterAutospacing="0" w:line="360" w:lineRule="auto"/>
        <w:jc w:val="both"/>
      </w:pPr>
    </w:p>
    <w:p w:rsidR="009B36FD" w:rsidRDefault="009739C6" w:rsidP="009B36FD">
      <w:pPr>
        <w:pStyle w:val="Web"/>
        <w:spacing w:before="30" w:beforeAutospacing="0" w:after="30" w:afterAutospacing="0" w:line="360" w:lineRule="auto"/>
        <w:jc w:val="both"/>
      </w:pPr>
      <w:r>
        <w:rPr>
          <w:noProof/>
        </w:rPr>
        <w:pict>
          <v:line id="_x0000_s2074" style="position:absolute;left:0;text-align:left;flip:x;z-index:251653120" from="84.7pt,12.4pt" to="84.75pt,57.9pt" strokecolor="navy" strokeweight="2.25pt"/>
        </w:pict>
      </w:r>
    </w:p>
    <w:p w:rsidR="009B36FD" w:rsidRDefault="009739C6" w:rsidP="009B36FD">
      <w:pPr>
        <w:pStyle w:val="Web"/>
        <w:spacing w:before="30" w:beforeAutospacing="0" w:after="30" w:afterAutospacing="0" w:line="360" w:lineRule="auto"/>
        <w:jc w:val="both"/>
      </w:pPr>
      <w:r>
        <w:rPr>
          <w:noProof/>
        </w:rPr>
        <w:pict>
          <v:line id="_x0000_s2083" style="position:absolute;left:0;text-align:left;z-index:251662336" from="369.2pt,27.5pt" to="369.2pt,36.9pt" strokecolor="navy" strokeweight="2.25pt"/>
        </w:pict>
      </w:r>
      <w:r>
        <w:rPr>
          <w:noProof/>
        </w:rPr>
        <w:pict>
          <v:line id="_x0000_s2076" style="position:absolute;left:0;text-align:left;z-index:251655168" from="196.6pt,28pt" to="196.6pt,39.65pt" strokecolor="navy" strokeweight="2.25pt"/>
        </w:pict>
      </w:r>
      <w:r>
        <w:rPr>
          <w:noProof/>
        </w:rPr>
        <w:pict>
          <v:line id="_x0000_s2073" style="position:absolute;left:0;text-align:left;flip:y;z-index:251652096" from="49.4pt,28.2pt" to="369.9pt,29.4pt" strokecolor="navy" strokeweight="2.25pt"/>
        </w:pict>
      </w:r>
      <w:r>
        <w:rPr>
          <w:noProof/>
        </w:rPr>
        <w:pict>
          <v:line id="_x0000_s2075" style="position:absolute;left:0;text-align:left;z-index:251654144" from="318.7pt,17.6pt" to="318.7pt,29.25pt" strokecolor="navy" strokeweight="2.25pt"/>
        </w:pict>
      </w:r>
    </w:p>
    <w:p w:rsidR="009B36FD" w:rsidRDefault="008A406D" w:rsidP="009B36FD">
      <w:pPr>
        <w:pStyle w:val="Web"/>
        <w:spacing w:before="30" w:beforeAutospacing="0" w:after="30" w:afterAutospacing="0" w:line="360" w:lineRule="auto"/>
        <w:jc w:val="both"/>
      </w:pPr>
      <w:r>
        <w:rPr>
          <w:noProof/>
        </w:rPr>
        <w:pict>
          <v:shape id="_x0000_s2077" type="#_x0000_t176" style="position:absolute;left:0;text-align:left;margin-left:302.3pt;margin-top:11.15pt;width:186.7pt;height:342.95pt;z-index:2516561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2077">
              <w:txbxContent>
                <w:p w:rsidR="00E74195" w:rsidRPr="008A406D" w:rsidRDefault="006473EE" w:rsidP="008A406D">
                  <w:pPr>
                    <w:spacing w:line="320" w:lineRule="exact"/>
                    <w:ind w:leftChars="-75" w:left="-180" w:rightChars="-75" w:right="-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財務分析與景氣預測學程</w:t>
                  </w:r>
                </w:p>
                <w:p w:rsidR="006473EE" w:rsidRPr="008A406D" w:rsidRDefault="00726EE4" w:rsidP="008A406D">
                  <w:pPr>
                    <w:spacing w:line="320" w:lineRule="exact"/>
                    <w:ind w:leftChars="-75" w:left="-180" w:rightChars="-75" w:right="-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(共21學分)</w:t>
                  </w:r>
                </w:p>
                <w:p w:rsidR="00314646" w:rsidRPr="008A406D" w:rsidRDefault="00DC1697" w:rsidP="008A406D">
                  <w:pPr>
                    <w:pStyle w:val="a9"/>
                    <w:numPr>
                      <w:ilvl w:val="0"/>
                      <w:numId w:val="9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財務管理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9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投資學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6D07CD" w:rsidP="008A406D">
                  <w:pPr>
                    <w:pStyle w:val="a9"/>
                    <w:numPr>
                      <w:ilvl w:val="0"/>
                      <w:numId w:val="9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國際金融市場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9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財務個案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sz w:val="28"/>
                      <w:szCs w:val="28"/>
                    </w:rPr>
                  </w:pP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以下七選三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基金管理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國際財務管理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貨幣銀行學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計量經濟學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(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二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)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 xml:space="preserve"> 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產業分析(3)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金融實務(3)</w:t>
                  </w:r>
                </w:p>
                <w:p w:rsidR="006D07CD" w:rsidRPr="008A406D" w:rsidRDefault="006D07CD" w:rsidP="008A406D">
                  <w:pPr>
                    <w:pStyle w:val="a9"/>
                    <w:numPr>
                      <w:ilvl w:val="0"/>
                      <w:numId w:val="10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財務金融選論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以下選修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企業實習(2)</w:t>
                  </w:r>
                </w:p>
                <w:p w:rsidR="006D07CD" w:rsidRPr="006D07CD" w:rsidRDefault="006D07CD" w:rsidP="006D07CD">
                  <w:pPr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2078" type="#_x0000_t176" style="position:absolute;left:0;text-align:left;margin-left:114.5pt;margin-top:12.2pt;width:182.8pt;height:341.05pt;z-index:2516572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2078">
              <w:txbxContent>
                <w:p w:rsidR="006473EE" w:rsidRPr="008A406D" w:rsidRDefault="006473EE" w:rsidP="008A406D">
                  <w:pPr>
                    <w:spacing w:line="320" w:lineRule="exact"/>
                    <w:ind w:leftChars="-75" w:left="-180" w:rightChars="-75" w:right="-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財務工程學程</w:t>
                  </w:r>
                  <w:r w:rsidR="00726EE4"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(共21學分)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7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財務管理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7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投資學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7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財務數學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(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二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)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 xml:space="preserve"> 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7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衍生性金融商品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DC1697" w:rsidRPr="008A406D" w:rsidRDefault="00DC1697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以下六選三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精算學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數理統計學(二)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 xml:space="preserve"> 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計量經濟學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(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二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)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 xml:space="preserve"> 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風險管理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固定收益證券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DC1697" w:rsidRPr="008A406D" w:rsidRDefault="00DC1697" w:rsidP="008A406D">
                  <w:pPr>
                    <w:pStyle w:val="a9"/>
                    <w:numPr>
                      <w:ilvl w:val="0"/>
                      <w:numId w:val="8"/>
                    </w:numPr>
                    <w:spacing w:line="320" w:lineRule="exact"/>
                    <w:ind w:leftChars="0" w:left="482" w:hanging="482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財務金融選論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以下選修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企業實習(2)</w:t>
                  </w:r>
                </w:p>
              </w:txbxContent>
            </v:textbox>
          </v:shape>
        </w:pict>
      </w:r>
      <w:r w:rsidR="009739C6">
        <w:rPr>
          <w:noProof/>
        </w:rPr>
        <w:pict>
          <v:shape id="_x0000_s2079" type="#_x0000_t176" style="position:absolute;left:0;text-align:left;margin-left:-71pt;margin-top:12.2pt;width:177.5pt;height:341.05pt;z-index:2516582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2079">
              <w:txbxContent>
                <w:p w:rsidR="006473EE" w:rsidRPr="008A406D" w:rsidRDefault="006473EE" w:rsidP="008A406D">
                  <w:pPr>
                    <w:spacing w:line="320" w:lineRule="exact"/>
                    <w:ind w:leftChars="-75" w:left="-180" w:rightChars="-75" w:right="-18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行為財務學程</w:t>
                  </w:r>
                  <w:r w:rsidR="006D07CD"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(</w:t>
                  </w:r>
                  <w:r w:rsidR="00726EE4"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共</w:t>
                  </w:r>
                  <w:r w:rsidR="006D07CD" w:rsidRPr="008A406D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21學分)</w:t>
                  </w:r>
                </w:p>
                <w:p w:rsidR="00314646" w:rsidRPr="008A406D" w:rsidRDefault="00314646" w:rsidP="008A406D">
                  <w:pPr>
                    <w:pStyle w:val="a9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財務管理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314646" w:rsidRPr="008A406D" w:rsidRDefault="00314646" w:rsidP="008A406D">
                  <w:pPr>
                    <w:pStyle w:val="a9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投資學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314646" w:rsidRPr="008A406D" w:rsidRDefault="00314646" w:rsidP="008A406D">
                  <w:pPr>
                    <w:pStyle w:val="a9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中級財務管理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314646" w:rsidRPr="008A406D" w:rsidRDefault="00314646" w:rsidP="008A406D">
                  <w:pPr>
                    <w:pStyle w:val="a9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貨幣銀行學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314646" w:rsidRPr="008A406D" w:rsidRDefault="00314646" w:rsidP="008A406D">
                  <w:pPr>
                    <w:pStyle w:val="a9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行為財務學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263DF1" w:rsidRPr="008A406D" w:rsidRDefault="00263DF1" w:rsidP="008A406D">
                  <w:pPr>
                    <w:spacing w:line="320" w:lineRule="exact"/>
                    <w:rPr>
                      <w:sz w:val="28"/>
                      <w:szCs w:val="28"/>
                      <w:u w:val="single"/>
                    </w:rPr>
                  </w:pPr>
                </w:p>
                <w:p w:rsidR="00314646" w:rsidRPr="008A406D" w:rsidRDefault="00314646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</w:t>
                  </w:r>
                  <w:r w:rsidR="00263DF1"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五</w:t>
                  </w: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選</w:t>
                  </w:r>
                  <w:r w:rsidR="00263DF1"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二</w:t>
                  </w:r>
                </w:p>
                <w:p w:rsidR="00314646" w:rsidRPr="008A406D" w:rsidRDefault="00263DF1" w:rsidP="008A406D">
                  <w:pPr>
                    <w:pStyle w:val="a9"/>
                    <w:numPr>
                      <w:ilvl w:val="0"/>
                      <w:numId w:val="5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財務報表分析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263DF1" w:rsidRPr="008A406D" w:rsidRDefault="00263DF1" w:rsidP="008A406D">
                  <w:pPr>
                    <w:pStyle w:val="a9"/>
                    <w:numPr>
                      <w:ilvl w:val="0"/>
                      <w:numId w:val="5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投資組合理論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263DF1" w:rsidRPr="008A406D" w:rsidRDefault="00263DF1" w:rsidP="008A406D">
                  <w:pPr>
                    <w:pStyle w:val="a9"/>
                    <w:numPr>
                      <w:ilvl w:val="0"/>
                      <w:numId w:val="5"/>
                    </w:numPr>
                    <w:spacing w:line="320" w:lineRule="exact"/>
                    <w:ind w:leftChars="0"/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計量經濟學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(</w:t>
                  </w:r>
                  <w:r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二</w:t>
                  </w:r>
                  <w:r w:rsidRPr="008A406D">
                    <w:rPr>
                      <w:rFonts w:ascii="標楷體" w:eastAsia="標楷體" w:hAnsi="標楷體" w:cs="ArialUnicodeMS-WinCharSetFFFF-H"/>
                      <w:kern w:val="0"/>
                      <w:sz w:val="28"/>
                      <w:szCs w:val="28"/>
                    </w:rPr>
                    <w:t>)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 xml:space="preserve"> (3)</w:t>
                  </w:r>
                </w:p>
                <w:p w:rsidR="00263DF1" w:rsidRPr="008A406D" w:rsidRDefault="00263DF1" w:rsidP="008A406D">
                  <w:pPr>
                    <w:pStyle w:val="a9"/>
                    <w:numPr>
                      <w:ilvl w:val="0"/>
                      <w:numId w:val="5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財務金融選論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263DF1" w:rsidRPr="008A406D" w:rsidRDefault="00263DF1" w:rsidP="008A406D">
                  <w:pPr>
                    <w:pStyle w:val="a9"/>
                    <w:numPr>
                      <w:ilvl w:val="0"/>
                      <w:numId w:val="5"/>
                    </w:numPr>
                    <w:spacing w:line="32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時間序列</w:t>
                  </w:r>
                  <w:r w:rsidR="006D07CD" w:rsidRPr="008A406D">
                    <w:rPr>
                      <w:rFonts w:ascii="標楷體" w:eastAsia="標楷體" w:hAnsi="標楷體" w:cs="ArialUnicodeMS-WinCharSetFFFF-H" w:hint="eastAsia"/>
                      <w:kern w:val="0"/>
                      <w:sz w:val="28"/>
                      <w:szCs w:val="28"/>
                    </w:rPr>
                    <w:t>(3)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  <w:u w:val="single"/>
                    </w:rPr>
                    <w:t>以下選修</w:t>
                  </w:r>
                </w:p>
                <w:p w:rsidR="006D07CD" w:rsidRPr="008A406D" w:rsidRDefault="006D07CD" w:rsidP="008A406D">
                  <w:pPr>
                    <w:spacing w:line="3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A406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企業實習(2)</w:t>
                  </w:r>
                </w:p>
              </w:txbxContent>
            </v:textbox>
          </v:shape>
        </w:pict>
      </w:r>
      <w:r w:rsidR="009739C6">
        <w:rPr>
          <w:noProof/>
        </w:rPr>
        <w:pict>
          <v:line id="_x0000_s2084" style="position:absolute;left:0;text-align:left;z-index:251663360" from="49.4pt,-.15pt" to="49.4pt,11.15pt" strokecolor="navy" strokeweight="2.25pt"/>
        </w:pict>
      </w:r>
    </w:p>
    <w:p w:rsidR="009B36FD" w:rsidRDefault="009B36FD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6473EE" w:rsidRDefault="006473EE" w:rsidP="009B36FD">
      <w:pPr>
        <w:pStyle w:val="Web"/>
        <w:spacing w:before="30" w:beforeAutospacing="0" w:after="30" w:afterAutospacing="0" w:line="360" w:lineRule="auto"/>
        <w:jc w:val="both"/>
      </w:pPr>
    </w:p>
    <w:p w:rsidR="00314646" w:rsidRDefault="00314646" w:rsidP="009B36FD">
      <w:pPr>
        <w:pStyle w:val="Web"/>
        <w:spacing w:before="30" w:beforeAutospacing="0" w:after="30" w:afterAutospacing="0" w:line="360" w:lineRule="auto"/>
        <w:jc w:val="both"/>
      </w:pPr>
    </w:p>
    <w:p w:rsidR="00314646" w:rsidRDefault="00314646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9B36FD">
      <w:pPr>
        <w:pStyle w:val="Web"/>
        <w:spacing w:before="30" w:beforeAutospacing="0" w:after="30" w:afterAutospacing="0" w:line="360" w:lineRule="auto"/>
        <w:jc w:val="both"/>
        <w:sectPr w:rsidR="00E74195" w:rsidSect="008A406D">
          <w:pgSz w:w="11906" w:h="16838"/>
          <w:pgMar w:top="568" w:right="1800" w:bottom="1440" w:left="1800" w:header="851" w:footer="850" w:gutter="0"/>
          <w:pgNumType w:start="2"/>
          <w:cols w:space="425"/>
          <w:titlePg/>
          <w:docGrid w:type="lines" w:linePitch="360"/>
        </w:sectPr>
      </w:pPr>
    </w:p>
    <w:p w:rsidR="00124F13" w:rsidRDefault="00124F13" w:rsidP="00E74195">
      <w:pPr>
        <w:jc w:val="center"/>
        <w:rPr>
          <w:rFonts w:ascii="標楷體" w:eastAsia="標楷體" w:hAnsi="標楷體" w:hint="eastAsia"/>
          <w:b/>
          <w:color w:val="0000FF"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-521970</wp:posOffset>
            </wp:positionH>
            <wp:positionV relativeFrom="margin">
              <wp:posOffset>-76200</wp:posOffset>
            </wp:positionV>
            <wp:extent cx="9918700" cy="6828155"/>
            <wp:effectExtent l="19050" t="0" r="6350" b="0"/>
            <wp:wrapSquare wrapText="bothSides"/>
            <wp:docPr id="165" name="圖片 165" descr="E:\辦公用文件\生涯規劃\課程地圖(新課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:\辦公用文件\生涯規劃\課程地圖(新課規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95" w:rsidRPr="00E74195" w:rsidRDefault="00E74195" w:rsidP="00E74195">
      <w:pPr>
        <w:jc w:val="center"/>
        <w:rPr>
          <w:rFonts w:ascii="標楷體" w:eastAsia="標楷體" w:hAnsi="標楷體"/>
          <w:b/>
          <w:color w:val="0000FF"/>
          <w:sz w:val="40"/>
          <w:szCs w:val="40"/>
          <w:u w:val="single"/>
        </w:rPr>
      </w:pPr>
      <w:r w:rsidRPr="00E74195">
        <w:rPr>
          <w:rFonts w:ascii="標楷體" w:eastAsia="標楷體" w:hAnsi="標楷體" w:hint="eastAsia"/>
          <w:b/>
          <w:color w:val="0000FF"/>
          <w:sz w:val="40"/>
          <w:szCs w:val="40"/>
          <w:u w:val="single"/>
        </w:rPr>
        <w:lastRenderedPageBreak/>
        <w:t>財金系學程規劃與生涯進路關係圖</w:t>
      </w:r>
    </w:p>
    <w:p w:rsidR="00E74195" w:rsidRPr="00024940" w:rsidRDefault="009739C6" w:rsidP="00E74195">
      <w:pPr>
        <w:jc w:val="center"/>
        <w:rPr>
          <w:rFonts w:eastAsia="標楷體"/>
        </w:rPr>
      </w:pPr>
      <w:r>
        <w:rPr>
          <w:rFonts w:eastAsia="標楷體"/>
          <w:noProof/>
        </w:rPr>
        <w:pict>
          <v:group id="_x0000_s2137" editas="orgchart" style="position:absolute;left:0;text-align:left;margin-left:9pt;margin-top:0;width:711pt;height:477pt;z-index:251664384" coordorigin="1620,1287" coordsize="14220,9540">
            <o:lock v:ext="edit" aspectratio="t"/>
            <o:diagram v:ext="edit" dgmstyle="4" dgmscalex="67354" dgmscaley="59534" dgmfontsize="10" constrainbounds="0,0,0,0" autolayout="f">
              <o:relationtable v:ext="edit">
                <o:rel v:ext="edit" idsrc="#_s2162" iddest="#_s2162"/>
                <o:rel v:ext="edit" idsrc="#_s2163" iddest="#_s2162" idcntr="#_s2161"/>
                <o:rel v:ext="edit" idsrc="#_s2164" iddest="#_s2162" idcntr="#_s2160"/>
                <o:rel v:ext="edit" idsrc="#_s2171" iddest="#_s2163" idcntr="#_s2148"/>
                <o:rel v:ext="edit" idsrc="#_s2172" iddest="#_s2163" idcntr="#_s2147"/>
                <o:rel v:ext="edit" idsrc="#_s2173" iddest="#_s2163" idcntr="#_s2146"/>
                <o:rel v:ext="edit" idsrc="#_s2174" iddest="#_s2163" idcntr="#_s2145"/>
                <o:rel v:ext="edit" idsrc="#_s2170" iddest="#_s2163" idcntr="#_s2154"/>
                <o:rel v:ext="edit" idsrc="#_s2175" iddest="#_s2163" idcntr="#_s2153"/>
                <o:rel v:ext="edit" idsrc="#_s2169" iddest="#_s2164" idcntr="#_s2155"/>
                <o:rel v:ext="edit" idsrc="#_s2177" iddest="#_s2175" idcntr="#_s2151"/>
                <o:rel v:ext="edit" idsrc="#_s2178" iddest="#_s2169" idcntr="#_s2150"/>
                <o:rel v:ext="edit" idsrc="#_s2179" iddest="#_s2169" idcntr="#_s2149"/>
                <o:rel v:ext="edit" idsrc="#_s2186" iddest="#_s2169" idcntr="#_s2144"/>
                <o:rel v:ext="edit" idsrc="#_s2187" iddest="#_s2169" idcntr="#_s2143"/>
                <o:rel v:ext="edit" idsrc="#_s2188" iddest="#_s2169" idcntr="#_s2142"/>
                <o:rel v:ext="edit" idsrc="#_s2189" iddest="#_s2169" idcntr="#_s2141"/>
                <o:rel v:ext="edit" idsrc="#_s2191" iddest="#_s2179" idcntr="#_s2139"/>
                <o:rel v:ext="edit" idsrc="#_s2190" iddest="#_s2188" idcntr="#_s2140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8" type="#_x0000_t75" style="position:absolute;left:1620;top:1287;width:14220;height:954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139" o:spid="_x0000_s2139" type="#_x0000_t34" style="position:absolute;left:8964;top:7792;width:911;height:924;rotation:180" o:connectortype="elbow" adj="4268,-203751,-234138" strokeweight="3pt"/>
            <v:shape id="_s2140" o:spid="_x0000_s2140" type="#_x0000_t34" style="position:absolute;left:8986;top:9739;width:889;height:7;rotation:180" o:connectortype="elbow" adj="4373,-30073371,-239933" strokeweight="3pt"/>
            <v:shape id="_s2141" o:spid="_x0000_s2141" type="#_x0000_t34" style="position:absolute;left:7026;top:7792;width:961;height:719;rotation:180;flip:y" o:connectortype="elbow" adj="4046,234085,-179520" strokeweight="3pt"/>
            <v:shape id="_s2142" o:spid="_x0000_s2142" type="#_x0000_t34" style="position:absolute;left:7011;top:8511;width:983;height:1234;rotation:180" o:connectortype="elbow" adj="3955,-170577,-175986" strokeweight="3pt"/>
            <v:shape id="_s2143" o:spid="_x0000_s2143" type="#_x0000_t34" style="position:absolute;left:11551;top:7789;width:1352;height:361;rotation:180" o:connectortype="elbow" adj="2957,-410536,-184955" strokeweight="3pt"/>
            <v:shape id="_s2144" o:spid="_x0000_s2144" type="#_x0000_t34" style="position:absolute;left:11551;top:7325;width:1352;height:464;rotation:180;flip:y" o:connectortype="elbow" adj="2957,281541,-184955" strokeweight="3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2145" o:spid="_x0000_s2145" type="#_x0000_t32" style="position:absolute;left:5025;top:3669;width:4265;height:2;rotation:180" o:connectortype="elbow" adj="-40311,-1,-40311" strokeweight="3pt"/>
            <v:shape id="_s2146" o:spid="_x0000_s2146" type="#_x0000_t32" style="position:absolute;left:5025;top:3669;width:4265;height:2;rotation:180" o:connectortype="elbow" adj="-40311,-1,-40311" strokeweight="3pt"/>
            <v:shape id="_s2147" o:spid="_x0000_s2147" type="#_x0000_t32" style="position:absolute;left:5025;top:3669;width:4265;height:2;rotation:180" o:connectortype="elbow" adj="-40311,-1,-40311" strokeweight="3pt"/>
            <v:shape id="_s2148" o:spid="_x0000_s2148" type="#_x0000_t32" style="position:absolute;left:5025;top:3669;width:4265;height:2;rotation:180" o:connectortype="elbow" adj="-40311,-1,-40311" strokeweight="3pt"/>
            <v:shape id="_s2149" o:spid="_x0000_s2149" type="#_x0000_t34" style="position:absolute;left:8964;top:7789;width:911;height:3;rotation:180;flip:y" o:connectortype="elbow" adj="4268,56080800,-234138" strokeweight="3pt"/>
            <v:shape id="_s2150" o:spid="_x0000_s2150" type="#_x0000_t34" style="position:absolute;left:8964;top:6790;width:911;height:1002;rotation:180;flip:y" o:connectortype="elbow" adj="4268,146371,-234138" strokeweight="3pt"/>
            <v:shape id="_s2151" o:spid="_x0000_s2151" type="#_x0000_t32" style="position:absolute;left:5025;top:3669;width:4265;height:2" o:connectortype="elbow" adj="-18711,-1,-18711" strokeweight="3pt"/>
            <v:shape id="_s2153" o:spid="_x0000_s2153" type="#_x0000_t32" style="position:absolute;left:5025;top:3669;width:4288;height:2;rotation:180" o:connectortype="elbow" adj="-40210,-1,-40210" strokeweight="3pt"/>
            <v:shape id="_s2154" o:spid="_x0000_s2154" type="#_x0000_t34" style="position:absolute;left:5025;top:2116;width:303;height:1551;rotation:180;flip:y" o:connectortype="elbow" adj="10835,33438,-355727" strokeweight="3pt"/>
            <v:shape id="_s2155" o:spid="_x0000_s2155" type="#_x0000_t32" style="position:absolute;left:4974;top:8510;width:355;height:1;rotation:180" o:connectortype="elbow" adj="-327225,-1,-327225" strokeweight="3pt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2160" o:spid="_x0000_s2160" type="#_x0000_t33" style="position:absolute;left:3387;top:6785;width:192;height:1689;rotation:180" o:connectortype="elbow" adj="-402975,-108435,-402975" strokeweight="3pt"/>
            <v:shape id="_s2161" o:spid="_x0000_s2161" type="#_x0000_t34" style="position:absolute;left:2636;top:3668;width:943;height:3117;rotation:180;flip:y" o:connectortype="elbow" adj="4123,25418,-81979" strokeweight="3pt"/>
            <v:roundrect id="_s2162" o:spid="_x0000_s2162" style="position:absolute;left:1800;top:5186;width:814;height:3198;v-text-anchor:middle" arcsize="10923f" o:dgmlayout="2" o:dgmnodekind="1" o:dgmlayoutmru="2" fillcolor="red" strokecolor="red" strokeweight="2.25pt">
              <v:fill opacity=".5"/>
              <v:textbox style="mso-next-textbox:#_s2162" inset="1.41269mm,.70639mm,1.41269mm,.70639mm">
                <w:txbxContent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新細明體" w:hAnsi="新細明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新細明體" w:hAnsi="新細明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大</w:t>
                    </w:r>
                  </w:p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新細明體" w:hAnsi="新細明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新細明體" w:hAnsi="新細明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學</w:t>
                    </w:r>
                  </w:p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新細明體" w:hAnsi="新細明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新細明體" w:hAnsi="新細明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畢</w:t>
                    </w:r>
                  </w:p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新細明體" w:hAnsi="新細明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新細明體" w:hAnsi="新細明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業</w:t>
                    </w:r>
                  </w:p>
                </w:txbxContent>
              </v:textbox>
            </v:roundrect>
            <v:roundrect id="_s2163" o:spid="_x0000_s2163" style="position:absolute;left:3601;top:3101;width:1401;height:1134;v-text-anchor:middle" arcsize="10923f" o:dgmlayout="0" o:dgmnodekind="0" fillcolor="fuchsia" strokecolor="#ff00ad" strokeweight="2.25pt">
              <v:fill opacity=".5"/>
              <v:textbox style="mso-next-textbox:#_s2163" inset="1.41269mm,.70639mm,1.41269mm,.70639mm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升學</w:t>
                    </w:r>
                  </w:p>
                </w:txbxContent>
              </v:textbox>
            </v:roundrect>
            <v:roundrect id="_s2164" o:spid="_x0000_s2164" style="position:absolute;left:3604;top:7995;width:1398;height:968;v-text-anchor:middle" arcsize="10923f" o:dgmlayout="0" o:dgmnodekind="0" fillcolor="fuchsia" strokecolor="#ff00ad" strokeweight="2.25pt">
              <v:fill opacity=".5"/>
              <v:textbox style="mso-next-textbox:#_s2164" inset="1.41269mm,.70639mm,1.41269mm,.70639mm">
                <w:txbxContent>
                  <w:p w:rsidR="00124F13" w:rsidRPr="00124F13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32"/>
                        <w:szCs w:val="32"/>
                        <w:lang w:val="zh-TW"/>
                      </w:rPr>
                    </w:pPr>
                    <w:r w:rsidRPr="00124F13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32"/>
                        <w:szCs w:val="32"/>
                        <w:lang w:val="zh-TW"/>
                      </w:rPr>
                      <w:t>金融</w:t>
                    </w:r>
                  </w:p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sz w:val="32"/>
                        <w:szCs w:val="32"/>
                        <w:lang w:val="zh-TW"/>
                      </w:rPr>
                    </w:pPr>
                    <w:r w:rsidRPr="00124F13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32"/>
                        <w:szCs w:val="32"/>
                        <w:lang w:val="zh-TW"/>
                      </w:rPr>
                      <w:t>證照</w:t>
                    </w:r>
                  </w:p>
                </w:txbxContent>
              </v:textbox>
            </v:roundrect>
            <v:roundrect id="_s2169" o:spid="_x0000_s2169" style="position:absolute;left:5351;top:7995;width:1653;height:1031;v-text-anchor:middle" arcsize="10923f" o:dgmlayout="2" o:dgmnodekind="0" fillcolor="#01bd0a" strokecolor="#01bd0a" strokeweight="2.25pt">
              <v:fill opacity=".5"/>
              <v:textbox style="mso-next-textbox:#_s2169" inset="1.41269mm,.70639mm,1.41269mm,.70639mm">
                <w:txbxContent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</w:pPr>
                    <w:r w:rsidRPr="00124F13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40"/>
                        <w:szCs w:val="40"/>
                        <w:lang w:val="zh-TW"/>
                      </w:rPr>
                      <w:t>就業</w:t>
                    </w:r>
                  </w:p>
                </w:txbxContent>
              </v:textbox>
            </v:roundrect>
            <v:roundrect id="_s2170" o:spid="_x0000_s2170" style="position:absolute;left:5351;top:1648;width:2562;height:938;v-text-anchor:middle" arcsize="10923f" o:dgmlayout="2" o:dgmnodekind="0" fillcolor="#0399ff" strokecolor="#0399ff" strokeweight="2.25pt">
              <v:fill opacity=".5"/>
              <v:textbox style="mso-next-textbox:#_s2170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財務金融研究所</w:t>
                    </w:r>
                    <w:r w:rsidRPr="005D472B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財務管理、經濟學</w:t>
                    </w:r>
                    <w:r w:rsidRPr="005D472B">
                      <w:rPr>
                        <w:rFonts w:ascii="Arial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統計學、微積分</w:t>
                    </w:r>
                  </w:p>
                </w:txbxContent>
              </v:textbox>
            </v:roundrect>
            <v:roundrect id="_s2171" o:spid="_x0000_s2171" style="position:absolute;left:8415;top:1659;width:3218;height:927;v-text-anchor:middle" arcsize="10923f" o:dgmlayout="2" o:dgmnodekind="0" fillcolor="#0399ff" strokecolor="#0399ff" strokeweight="2.25pt">
              <v:fill opacity=".5"/>
              <v:textbox style="mso-next-textbox:#_s2171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會計研究所</w:t>
                    </w:r>
                    <w:r w:rsidRPr="005D472B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中級會計學、高級會計學</w:t>
                    </w:r>
                    <w:r w:rsidRPr="005D472B">
                      <w:rPr>
                        <w:rFonts w:ascii="Arial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成本與管理會計、審計學、英文</w:t>
                    </w:r>
                    <w:r w:rsidRPr="005D472B"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  <w:t xml:space="preserve"> </w:t>
                    </w:r>
                  </w:p>
                </w:txbxContent>
              </v:textbox>
            </v:roundrect>
            <v:roundrect id="_s2172" o:spid="_x0000_s2172" style="position:absolute;left:12577;top:1659;width:2914;height:949;v-text-anchor:middle" arcsize="10923f" o:dgmlayout="2" o:dgmnodekind="0" fillcolor="#0399ff" strokecolor="#0399ff" strokeweight="2.25pt">
              <v:fill opacity=".5"/>
              <v:textbox style="mso-next-textbox:#_s2172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經濟研究所</w:t>
                    </w:r>
                    <w:r w:rsidRPr="005D472B">
                      <w:rPr>
                        <w:rFonts w:ascii="Arial" w:eastAsia="標楷體" w:hAnsi="標楷體" w:cs="Arial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Arial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各類經濟學</w:t>
                    </w:r>
                    <w:r w:rsidRPr="005D472B">
                      <w:rPr>
                        <w:rFonts w:ascii="Arial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、微積分、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Arial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Arial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財政學、財經統計學</w:t>
                    </w:r>
                  </w:p>
                </w:txbxContent>
              </v:textbox>
            </v:roundrect>
            <v:roundrect id="_s2173" o:spid="_x0000_s2173" style="position:absolute;left:12549;top:4745;width:2914;height:1238;v-text-anchor:middle" arcsize="10923f" o:dgmlayout="2" o:dgmnodekind="0" fillcolor="#0399ff" strokecolor="#0399ff" strokeweight="2.25pt">
              <v:fill opacity=".5"/>
              <v:textbox style="mso-next-textbox:#_s2173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國際企業研究所</w:t>
                    </w:r>
                    <w:r w:rsidRPr="005D472B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微積分、經濟學、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英文統計學、管理學、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企業管理</w:t>
                    </w:r>
                  </w:p>
                </w:txbxContent>
              </v:textbox>
            </v:roundrect>
            <v:roundrect id="_s2174" o:spid="_x0000_s2174" style="position:absolute;left:12577;top:3105;width:2914;height:1141;v-text-anchor:middle" arcsize="10923f" o:dgmlayout="2" o:dgmnodekind="0" fillcolor="#0399ff" strokecolor="#0399ff" strokeweight="2.25pt">
              <v:fill opacity=".5"/>
              <v:textbox style="mso-next-textbox:#_s2174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企業管理研究所</w:t>
                    </w:r>
                    <w:r w:rsidRPr="005D472B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經濟學、管理學、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微積分</w:t>
                    </w:r>
                    <w:r w:rsidRPr="005D472B">
                      <w:rPr>
                        <w:rFonts w:ascii="Arial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、</w:t>
                    </w:r>
                    <w:r w:rsidRPr="005D472B">
                      <w:rPr>
                        <w:rFonts w:ascii="標楷體" w:eastAsia="標楷體" w:hAnsi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統計學、英文</w:t>
                    </w:r>
                  </w:p>
                </w:txbxContent>
              </v:textbox>
            </v:roundrect>
            <v:roundrect id="_s2175" o:spid="_x0000_s2175" style="position:absolute;left:9313;top:3206;width:1401;height:926;v-text-anchor:middle" arcsize="10923f" o:dgmlayout="2" o:dgmnodekind="0" fillcolor="#01bd0a" strokecolor="#01bd0a" strokeweight="2.25pt">
              <v:fill opacity=".5"/>
              <v:textbox style="mso-next-textbox:#_s2175" inset="1.41269mm,.70639mm,1.41269mm,.70639mm">
                <w:txbxContent>
                  <w:p w:rsidR="00E74195" w:rsidRPr="00124F13" w:rsidRDefault="00E74195" w:rsidP="007D6DF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sz w:val="36"/>
                        <w:szCs w:val="36"/>
                        <w:lang w:val="zh-TW"/>
                      </w:rPr>
                    </w:pPr>
                    <w:r w:rsidRPr="00124F13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sz w:val="36"/>
                        <w:szCs w:val="36"/>
                        <w:lang w:val="zh-TW"/>
                      </w:rPr>
                      <w:t>跨領域</w:t>
                    </w:r>
                  </w:p>
                </w:txbxContent>
              </v:textbox>
            </v:roundrect>
            <v:roundrect id="_s2177" o:spid="_x0000_s2177" style="position:absolute;left:8415;top:4740;width:3113;height:1258;v-text-anchor:middle" arcsize="10923f" o:dgmlayout="2" o:dgmnodekind="0" fillcolor="#0399ff" strokecolor="#0399ff" strokeweight="2.25pt">
              <v:fill opacity=".5"/>
              <v:textbox style="mso-next-textbox:#_s2177" inset="1.41269mm,.70639mm,1.41269mm,.70639mm">
                <w:txbxContent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5D472B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0"/>
                        <w:szCs w:val="20"/>
                        <w:lang w:val="zh-TW"/>
                      </w:rPr>
                      <w:t>資訊管理研究所</w:t>
                    </w:r>
                    <w:r w:rsidRPr="005D472B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0"/>
                        <w:szCs w:val="20"/>
                      </w:rPr>
                      <w:t>: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eastAsia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eastAsia="標楷體"/>
                        <w:color w:val="000000"/>
                        <w:sz w:val="20"/>
                        <w:szCs w:val="20"/>
                      </w:rPr>
                      <w:t>MIS</w:t>
                    </w:r>
                    <w:r w:rsidRPr="005D472B">
                      <w:rPr>
                        <w:rFonts w:eastAsia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、微積分、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eastAsia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eastAsia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計算機概論、統計學、</w:t>
                    </w:r>
                  </w:p>
                  <w:p w:rsidR="00E74195" w:rsidRPr="005D472B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eastAsia="標楷體" w:cs="標楷體"/>
                        <w:color w:val="000000"/>
                        <w:sz w:val="20"/>
                        <w:szCs w:val="20"/>
                        <w:lang w:val="zh-TW"/>
                      </w:rPr>
                    </w:pPr>
                    <w:r w:rsidRPr="005D472B">
                      <w:rPr>
                        <w:rFonts w:eastAsia="標楷體" w:cs="標楷體" w:hint="eastAsia"/>
                        <w:color w:val="000000"/>
                        <w:sz w:val="20"/>
                        <w:szCs w:val="20"/>
                        <w:lang w:val="zh-TW"/>
                      </w:rPr>
                      <w:t>離散數學、管理學</w:t>
                    </w:r>
                  </w:p>
                </w:txbxContent>
              </v:textbox>
            </v:roundrect>
            <v:roundrect id="_s2178" o:spid="_x0000_s2178" style="position:absolute;left:9897;top:6429;width:2795;height:722;v-text-anchor:middle" arcsize="10923f" o:dgmlayout="2" o:dgmnodekind="0" fillcolor="#0399ff" strokecolor="#0399ff" strokeweight="2.25pt">
              <v:fill opacity=".5"/>
              <v:textbox style="mso-next-textbox:#_s2178" inset="1.41269mm,.70639mm,1.41269mm,.70639mm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</w:pP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金融理財</w:t>
                    </w:r>
                    <w:r w:rsidRPr="00124F13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(</w:t>
                    </w: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銀行</w:t>
                    </w:r>
                    <w:r w:rsidRPr="00124F13"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)</w:t>
                    </w: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業</w:t>
                    </w:r>
                  </w:p>
                </w:txbxContent>
              </v:textbox>
            </v:roundrect>
            <v:roundrect id="_s2179" o:spid="_x0000_s2179" style="position:absolute;left:9897;top:7427;width:1631;height:723;v-text-anchor:middle" arcsize="10923f" o:dgmlayout="2" o:dgmnodekind="0" fillcolor="#0399ff" strokecolor="#0399ff" strokeweight="2.25pt">
              <v:fill opacity=".5"/>
              <v:textbox style="mso-next-textbox:#_s2179" inset="1.41269mm,.70639mm,1.41269mm,.70639mm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</w:pP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證券業</w:t>
                    </w:r>
                  </w:p>
                </w:txbxContent>
              </v:textbox>
            </v:roundrect>
            <v:shape id="_x0000_s2180" type="#_x0000_t32" style="position:absolute;left:10014;top:2608;width:10;height:576;flip:y" o:connectortype="straight" strokeweight="3pt"/>
            <v:shape id="_x0000_s2181" type="#_x0000_t32" style="position:absolute;left:10736;top:2134;width:1819;height:1535;flip:y" o:connectortype="straight" strokeweight="3pt"/>
            <v:shape id="_x0000_s2184" type="#_x0000_t32" style="position:absolute;left:10736;top:3669;width:1791;height:1695" o:connectortype="straight" strokeweight="3pt"/>
            <v:shape id="_x0000_s2185" type="#_x0000_t32" style="position:absolute;left:10736;top:3669;width:1819;height:7" o:connectortype="straight" strokeweight="3pt"/>
            <v:roundrect id="_s2186" o:spid="_x0000_s2186" style="position:absolute;left:12926;top:7016;width:1866;height:618;v-text-anchor:middle" arcsize="10923f" o:dgmlayout="2" o:dgmnodekind="0" fillcolor="#0399ff" strokecolor="#0399ff" strokeweight="2.25pt">
              <v:fill opacity=".5"/>
              <v:textbox style="mso-next-textbox:#_s2186" inset="1.41269mm,.70639mm,1.41269mm,.70639mm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8"/>
                        <w:szCs w:val="28"/>
                        <w:lang w:val="zh-TW"/>
                      </w:rPr>
                    </w:pP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8"/>
                        <w:szCs w:val="28"/>
                        <w:lang w:val="zh-TW"/>
                      </w:rPr>
                      <w:t>投信投顧問</w:t>
                    </w:r>
                  </w:p>
                </w:txbxContent>
              </v:textbox>
            </v:roundrect>
            <v:roundrect id="_s2187" o:spid="_x0000_s2187" style="position:absolute;left:12926;top:7841;width:1866;height:617;v-text-anchor:middle" arcsize="10923f" o:dgmlayout="2" o:dgmnodekind="0" fillcolor="#0399ff" strokecolor="#0399ff" strokeweight="2.25pt">
              <v:fill opacity=".5"/>
              <v:textbox style="mso-next-textbox:#_s2187" inset="1.41269mm,.70639mm,1.41269mm,.70639mm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28"/>
                        <w:szCs w:val="28"/>
                        <w:lang w:val="zh-TW"/>
                      </w:rPr>
                    </w:pP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28"/>
                        <w:szCs w:val="28"/>
                        <w:lang w:val="zh-TW"/>
                      </w:rPr>
                      <w:t>期貨業</w:t>
                    </w:r>
                  </w:p>
                </w:txbxContent>
              </v:textbox>
            </v:roundrect>
            <v:roundrect id="_s2188" o:spid="_x0000_s2188" style="position:absolute;left:8031;top:9328;width:933;height:822;v-text-anchor:middle" arcsize="10923f" o:dgmlayout="2" o:dgmnodekind="0" fillcolor="#b2a1c7" strokecolor="#943634" strokeweight="2.25pt">
              <v:fill opacity=".5"/>
              <v:textbox style="mso-next-textbox:#_s2188" inset="1.41269mm,.70639mm,1.41269mm,.70639mm">
                <w:txbxContent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政府</w:t>
                    </w:r>
                  </w:p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機構</w:t>
                    </w:r>
                  </w:p>
                </w:txbxContent>
              </v:textbox>
            </v:roundrect>
            <v:roundrect id="_s2189" o:spid="_x0000_s2189" style="position:absolute;left:8009;top:7367;width:933;height:850;v-text-anchor:middle" arcsize="10923f" o:dgmlayout="2" o:dgmnodekind="0" fillcolor="#b2a1c7" strokecolor="#943634" strokeweight="2.25pt">
              <v:fill opacity=".5"/>
              <v:textbox style="mso-next-textbox:#_s2189" inset="1.41269mm,.70639mm,1.41269mm,.70639mm">
                <w:txbxContent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民間</w:t>
                    </w:r>
                  </w:p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集團</w:t>
                    </w:r>
                  </w:p>
                </w:txbxContent>
              </v:textbox>
            </v:roundrect>
            <v:roundrect id="_s2190" o:spid="_x0000_s2190" style="position:absolute;left:9897;top:9283;width:4776;height:926;v-text-anchor:middle" arcsize="10923f" o:dgmlayout="2" o:dgmnodekind="0" fillcolor="#0399ff" strokecolor="#0399ff" strokeweight="2.25pt">
              <v:fill opacity=".5"/>
              <v:textbox style="mso-next-textbox:#_s2190" inset="1.41269mm,.70639mm,1.41269mm,.70639mm">
                <w:txbxContent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高普考、金融外匯管理人員、</w:t>
                    </w:r>
                  </w:p>
                  <w:p w:rsidR="00E74195" w:rsidRPr="00D449B1" w:rsidRDefault="00E74195" w:rsidP="007D6DF3">
                    <w:pPr>
                      <w:autoSpaceDE w:val="0"/>
                      <w:autoSpaceDN w:val="0"/>
                      <w:adjustRightInd w:val="0"/>
                      <w:snapToGrid w:val="0"/>
                      <w:rPr>
                        <w:rFonts w:ascii="Arial" w:eastAsia="標楷體" w:hAnsi="標楷體" w:cs="標楷體"/>
                        <w:b/>
                        <w:bCs/>
                        <w:color w:val="000000"/>
                        <w:lang w:val="zh-TW"/>
                      </w:rPr>
                    </w:pPr>
                    <w:r w:rsidRPr="00D449B1">
                      <w:rPr>
                        <w:rFonts w:ascii="Arial" w:eastAsia="標楷體" w:hAnsi="標楷體" w:cs="標楷體" w:hint="eastAsia"/>
                        <w:b/>
                        <w:bCs/>
                        <w:color w:val="000000"/>
                        <w:lang w:val="zh-TW"/>
                      </w:rPr>
                      <w:t>金融特考金融相關人員</w:t>
                    </w:r>
                  </w:p>
                </w:txbxContent>
              </v:textbox>
            </v:roundrect>
            <v:roundrect id="_s2191" o:spid="_x0000_s2191" style="position:absolute;left:9897;top:8356;width:1631;height:720;v-text-anchor:middle" arcsize="10923f" o:dgmlayout="2" o:dgmnodekind="0" fillcolor="#0399ff" strokecolor="#0399ff" strokeweight="2.25pt">
              <v:fill opacity=".5"/>
              <v:textbox style="mso-next-textbox:#_s2191" inset="0,0,0,0">
                <w:txbxContent>
                  <w:p w:rsidR="00E74195" w:rsidRPr="00124F13" w:rsidRDefault="00E74195" w:rsidP="00124F13">
                    <w:pPr>
                      <w:autoSpaceDE w:val="0"/>
                      <w:autoSpaceDN w:val="0"/>
                      <w:adjustRightInd w:val="0"/>
                      <w:snapToGrid w:val="0"/>
                      <w:jc w:val="center"/>
                      <w:rPr>
                        <w:rFonts w:ascii="標楷體" w:eastAsia="標楷體" w:hAnsi="標楷體" w:cs="標楷體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</w:pPr>
                    <w:r w:rsidRPr="00124F13">
                      <w:rPr>
                        <w:rFonts w:ascii="標楷體" w:eastAsia="標楷體" w:hAnsi="標楷體" w:cs="標楷體" w:hint="eastAsia"/>
                        <w:b/>
                        <w:bCs/>
                        <w:color w:val="000000"/>
                        <w:sz w:val="30"/>
                        <w:szCs w:val="30"/>
                        <w:lang w:val="zh-TW"/>
                      </w:rPr>
                      <w:t>保險業</w:t>
                    </w:r>
                  </w:p>
                </w:txbxContent>
              </v:textbox>
            </v:roundrect>
            <v:shape id="_x0000_s2206" type="#_x0000_t32" style="position:absolute;left:9989;top:4132;width:10;height:576;flip:y" o:connectortype="straight" strokeweight="3pt"/>
          </v:group>
        </w:pict>
      </w:r>
    </w:p>
    <w:p w:rsidR="00E74195" w:rsidRPr="00024940" w:rsidRDefault="00E74195" w:rsidP="00E74195">
      <w:pPr>
        <w:jc w:val="center"/>
        <w:rPr>
          <w:rFonts w:eastAsia="標楷體"/>
        </w:rPr>
      </w:pPr>
    </w:p>
    <w:p w:rsidR="00E74195" w:rsidRPr="00024940" w:rsidRDefault="00E74195" w:rsidP="00E74195">
      <w:pPr>
        <w:jc w:val="center"/>
        <w:rPr>
          <w:rFonts w:eastAsia="標楷體"/>
        </w:rPr>
      </w:pPr>
    </w:p>
    <w:p w:rsidR="00E74195" w:rsidRPr="00024940" w:rsidRDefault="00E74195" w:rsidP="00E74195">
      <w:pPr>
        <w:jc w:val="center"/>
        <w:rPr>
          <w:rFonts w:eastAsia="標楷體"/>
        </w:rPr>
      </w:pPr>
      <w:r w:rsidRPr="00024940">
        <w:rPr>
          <w:rFonts w:eastAsia="標楷體"/>
        </w:rPr>
        <w:tab/>
      </w:r>
    </w:p>
    <w:p w:rsidR="00E74195" w:rsidRPr="00024940" w:rsidRDefault="00E74195" w:rsidP="00E74195">
      <w:pPr>
        <w:jc w:val="center"/>
        <w:rPr>
          <w:rFonts w:eastAsia="標楷體"/>
        </w:rPr>
      </w:pPr>
    </w:p>
    <w:p w:rsidR="00314646" w:rsidRPr="00E74195" w:rsidRDefault="00314646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9B36FD">
      <w:pPr>
        <w:pStyle w:val="Web"/>
        <w:spacing w:before="30" w:beforeAutospacing="0" w:after="30" w:afterAutospacing="0" w:line="360" w:lineRule="auto"/>
        <w:jc w:val="both"/>
      </w:pPr>
    </w:p>
    <w:p w:rsidR="00E74195" w:rsidRDefault="00E74195" w:rsidP="00EA4AC9">
      <w:pPr>
        <w:widowControl/>
        <w:sectPr w:rsidR="00E74195" w:rsidSect="00E74195">
          <w:pgSz w:w="16838" w:h="11906" w:orient="landscape" w:code="9"/>
          <w:pgMar w:top="567" w:right="1440" w:bottom="567" w:left="1440" w:header="851" w:footer="851" w:gutter="0"/>
          <w:cols w:space="425"/>
          <w:docGrid w:type="linesAndChars" w:linePitch="360"/>
        </w:sectPr>
      </w:pPr>
    </w:p>
    <w:p w:rsidR="009B36FD" w:rsidRPr="00563460" w:rsidRDefault="009D4961" w:rsidP="00563460">
      <w:pPr>
        <w:pStyle w:val="a9"/>
        <w:numPr>
          <w:ilvl w:val="0"/>
          <w:numId w:val="25"/>
        </w:numPr>
        <w:spacing w:afterLines="50"/>
        <w:ind w:leftChars="0" w:left="482" w:hanging="482"/>
        <w:rPr>
          <w:rFonts w:ascii="微軟正黑體" w:eastAsia="微軟正黑體" w:hAnsi="微軟正黑體"/>
          <w:b/>
          <w:sz w:val="40"/>
          <w:szCs w:val="40"/>
        </w:rPr>
      </w:pPr>
      <w:r w:rsidRPr="00563460"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升學</w:t>
      </w:r>
    </w:p>
    <w:p w:rsidR="00FA5C9E" w:rsidRPr="00563460" w:rsidRDefault="00FA5C9E" w:rsidP="00563460">
      <w:pPr>
        <w:autoSpaceDE w:val="0"/>
        <w:autoSpaceDN w:val="0"/>
        <w:adjustRightInd w:val="0"/>
        <w:spacing w:beforeLines="50" w:afterLines="50" w:line="320" w:lineRule="exact"/>
        <w:rPr>
          <w:rFonts w:ascii="微軟正黑體" w:eastAsia="微軟正黑體" w:hAnsi="微軟正黑體" w:cs="新細明體"/>
          <w:b/>
          <w:color w:val="000000"/>
          <w:kern w:val="0"/>
        </w:rPr>
      </w:pPr>
      <w:r w:rsidRPr="00563460">
        <w:rPr>
          <w:rFonts w:ascii="微軟正黑體" w:eastAsia="微軟正黑體" w:hAnsi="微軟正黑體" w:cs="新細明體" w:hint="eastAsia"/>
          <w:b/>
          <w:color w:val="000000"/>
          <w:kern w:val="0"/>
        </w:rPr>
        <w:t>有關學生生涯發展的相關資訊：</w:t>
      </w:r>
    </w:p>
    <w:p w:rsidR="00563460" w:rsidRPr="00563460" w:rsidRDefault="00FA5C9E" w:rsidP="00563460">
      <w:pPr>
        <w:autoSpaceDE w:val="0"/>
        <w:autoSpaceDN w:val="0"/>
        <w:adjustRightInd w:val="0"/>
        <w:spacing w:before="100" w:beforeAutospacing="1" w:after="100" w:afterAutospacing="1" w:line="320" w:lineRule="exact"/>
        <w:rPr>
          <w:rFonts w:ascii="微軟正黑體" w:eastAsia="微軟正黑體" w:hAnsi="微軟正黑體" w:cs="新細明體" w:hint="eastAsia"/>
          <w:color w:val="000000"/>
          <w:kern w:val="0"/>
        </w:rPr>
      </w:pPr>
      <w:r w:rsidRPr="00563460">
        <w:rPr>
          <w:rFonts w:ascii="微軟正黑體" w:eastAsia="微軟正黑體" w:hAnsi="微軟正黑體"/>
          <w:color w:val="000000"/>
          <w:kern w:val="0"/>
        </w:rPr>
        <w:t xml:space="preserve">1. </w:t>
      </w:r>
      <w:r w:rsidRPr="00563460">
        <w:rPr>
          <w:rFonts w:ascii="微軟正黑體" w:eastAsia="微軟正黑體" w:hAnsi="微軟正黑體" w:cs="新細明體" w:hint="eastAsia"/>
          <w:color w:val="000000"/>
          <w:kern w:val="0"/>
          <w:sz w:val="22"/>
          <w:szCs w:val="22"/>
        </w:rPr>
        <w:t>國內學校的部分可參考各年度大學網路博覽會，查詢國內各大學相關系所資訊。</w:t>
      </w:r>
      <w:r w:rsidR="00563460" w:rsidRPr="00563460">
        <w:rPr>
          <w:rFonts w:ascii="微軟正黑體" w:eastAsia="微軟正黑體" w:hAnsi="微軟正黑體" w:cs="新細明體" w:hint="eastAsia"/>
          <w:color w:val="000000"/>
          <w:kern w:val="0"/>
          <w:sz w:val="22"/>
          <w:szCs w:val="22"/>
        </w:rPr>
        <w:t xml:space="preserve"> </w:t>
      </w:r>
      <w:r w:rsidR="00563460" w:rsidRPr="00563460">
        <w:rPr>
          <w:rFonts w:ascii="微軟正黑體" w:eastAsia="微軟正黑體" w:hAnsi="微軟正黑體" w:cs="新細明體" w:hint="eastAsia"/>
          <w:color w:val="000000"/>
          <w:kern w:val="0"/>
        </w:rPr>
        <w:t xml:space="preserve">    </w:t>
      </w:r>
    </w:p>
    <w:p w:rsidR="00FA5C9E" w:rsidRPr="00563460" w:rsidRDefault="00563460" w:rsidP="00563460">
      <w:pPr>
        <w:autoSpaceDE w:val="0"/>
        <w:autoSpaceDN w:val="0"/>
        <w:adjustRightInd w:val="0"/>
        <w:spacing w:before="100" w:beforeAutospacing="1" w:after="100" w:afterAutospacing="1" w:line="320" w:lineRule="exact"/>
        <w:rPr>
          <w:rFonts w:ascii="微軟正黑體" w:eastAsia="微軟正黑體" w:hAnsi="微軟正黑體" w:cs="新細明體"/>
          <w:color w:val="000000"/>
          <w:kern w:val="0"/>
        </w:rPr>
      </w:pPr>
      <w:r w:rsidRPr="00563460">
        <w:rPr>
          <w:rFonts w:ascii="微軟正黑體" w:eastAsia="微軟正黑體" w:hAnsi="微軟正黑體" w:cs="新細明體" w:hint="eastAsia"/>
          <w:color w:val="000000"/>
          <w:kern w:val="0"/>
        </w:rPr>
        <w:t xml:space="preserve">  連結資料: </w:t>
      </w:r>
      <w:hyperlink r:id="rId13" w:history="1">
        <w:r w:rsidR="00FA5C9E" w:rsidRPr="00563460">
          <w:rPr>
            <w:rStyle w:val="ac"/>
            <w:rFonts w:ascii="微軟正黑體" w:eastAsia="微軟正黑體" w:hAnsi="微軟正黑體" w:cs="Calibri"/>
            <w:kern w:val="0"/>
          </w:rPr>
          <w:t>http://univ.edu.tw/index1.htm</w:t>
        </w:r>
      </w:hyperlink>
    </w:p>
    <w:p w:rsidR="00FA5C9E" w:rsidRPr="00563460" w:rsidRDefault="00FA5C9E" w:rsidP="00563460">
      <w:pPr>
        <w:autoSpaceDE w:val="0"/>
        <w:autoSpaceDN w:val="0"/>
        <w:adjustRightInd w:val="0"/>
        <w:spacing w:before="100" w:beforeAutospacing="1" w:after="100" w:afterAutospacing="1" w:line="320" w:lineRule="exact"/>
        <w:rPr>
          <w:rFonts w:ascii="微軟正黑體" w:eastAsia="微軟正黑體" w:hAnsi="微軟正黑體" w:cs="新細明體"/>
          <w:color w:val="000000"/>
          <w:kern w:val="0"/>
        </w:rPr>
      </w:pPr>
      <w:r w:rsidRPr="00563460">
        <w:rPr>
          <w:rFonts w:ascii="微軟正黑體" w:eastAsia="微軟正黑體" w:hAnsi="微軟正黑體"/>
          <w:color w:val="000000"/>
          <w:kern w:val="0"/>
        </w:rPr>
        <w:t xml:space="preserve">2. </w:t>
      </w:r>
      <w:r w:rsidRPr="00563460">
        <w:rPr>
          <w:rFonts w:ascii="微軟正黑體" w:eastAsia="微軟正黑體" w:hAnsi="微軟正黑體" w:cs="新細明體" w:hint="eastAsia"/>
          <w:color w:val="000000"/>
          <w:kern w:val="0"/>
        </w:rPr>
        <w:t>國外學校的部分是以美國的大學為主，可參考</w:t>
      </w:r>
      <w:r w:rsidRPr="00563460">
        <w:rPr>
          <w:rFonts w:ascii="微軟正黑體" w:eastAsia="微軟正黑體" w:hAnsi="微軟正黑體" w:cs="Calibri"/>
          <w:color w:val="000000"/>
          <w:kern w:val="0"/>
        </w:rPr>
        <w:t>U.S. News</w:t>
      </w:r>
      <w:r w:rsidRPr="00563460">
        <w:rPr>
          <w:rFonts w:ascii="微軟正黑體" w:eastAsia="微軟正黑體" w:hAnsi="微軟正黑體" w:cs="新細明體" w:hint="eastAsia"/>
          <w:color w:val="000000"/>
          <w:kern w:val="0"/>
        </w:rPr>
        <w:t>，查詢美國大學各系所相關資訊、排名等。</w:t>
      </w:r>
    </w:p>
    <w:p w:rsidR="00FA5C9E" w:rsidRPr="00563460" w:rsidRDefault="009739C6" w:rsidP="00563460">
      <w:pPr>
        <w:autoSpaceDE w:val="0"/>
        <w:autoSpaceDN w:val="0"/>
        <w:adjustRightInd w:val="0"/>
        <w:spacing w:before="100" w:beforeAutospacing="1" w:after="100" w:afterAutospacing="1" w:line="320" w:lineRule="exact"/>
        <w:rPr>
          <w:rFonts w:ascii="微軟正黑體" w:eastAsia="微軟正黑體" w:hAnsi="微軟正黑體" w:cs="Calibri"/>
          <w:color w:val="0000FF"/>
          <w:kern w:val="0"/>
          <w:sz w:val="20"/>
          <w:szCs w:val="20"/>
        </w:rPr>
      </w:pPr>
      <w:hyperlink r:id="rId14" w:history="1">
        <w:r w:rsidR="00FA5C9E" w:rsidRPr="00563460">
          <w:rPr>
            <w:rStyle w:val="ac"/>
            <w:rFonts w:ascii="微軟正黑體" w:eastAsia="微軟正黑體" w:hAnsi="微軟正黑體" w:cs="Calibri"/>
            <w:kern w:val="0"/>
            <w:sz w:val="20"/>
            <w:szCs w:val="20"/>
          </w:rPr>
          <w:t>http://grad‐schools.usnews.rankingsandreviews.com/best‐graduate‐schools/topbusiness‐schools</w:t>
        </w:r>
      </w:hyperlink>
    </w:p>
    <w:p w:rsidR="00FA5C9E" w:rsidRPr="00563460" w:rsidRDefault="00FA5C9E" w:rsidP="00563460">
      <w:pPr>
        <w:autoSpaceDE w:val="0"/>
        <w:autoSpaceDN w:val="0"/>
        <w:adjustRightInd w:val="0"/>
        <w:spacing w:before="100" w:beforeAutospacing="1" w:after="100" w:afterAutospacing="1" w:line="320" w:lineRule="exact"/>
        <w:rPr>
          <w:rFonts w:ascii="微軟正黑體" w:eastAsia="微軟正黑體" w:hAnsi="微軟正黑體" w:cs="新細明體"/>
          <w:color w:val="000000"/>
          <w:kern w:val="0"/>
        </w:rPr>
      </w:pPr>
      <w:r w:rsidRPr="00563460">
        <w:rPr>
          <w:rFonts w:ascii="微軟正黑體" w:eastAsia="微軟正黑體" w:hAnsi="微軟正黑體"/>
          <w:color w:val="403152"/>
          <w:kern w:val="0"/>
        </w:rPr>
        <w:t xml:space="preserve">3. </w:t>
      </w:r>
      <w:r w:rsidRPr="00563460">
        <w:rPr>
          <w:rFonts w:ascii="微軟正黑體" w:eastAsia="微軟正黑體" w:hAnsi="微軟正黑體" w:cs="新細明體" w:hint="eastAsia"/>
          <w:color w:val="000000"/>
          <w:kern w:val="0"/>
        </w:rPr>
        <w:t>就業的部分可上行政院勞工委員會行業職業就業指南</w:t>
      </w:r>
      <w:r w:rsidRPr="00563460">
        <w:rPr>
          <w:rFonts w:ascii="微軟正黑體" w:eastAsia="微軟正黑體" w:hAnsi="微軟正黑體" w:cs="新細明體"/>
          <w:color w:val="000000"/>
          <w:kern w:val="0"/>
        </w:rPr>
        <w:t xml:space="preserve"> </w:t>
      </w:r>
      <w:r w:rsidRPr="00563460">
        <w:rPr>
          <w:rFonts w:ascii="微軟正黑體" w:eastAsia="微軟正黑體" w:hAnsi="微軟正黑體" w:cs="Calibri"/>
          <w:color w:val="000000"/>
          <w:kern w:val="0"/>
        </w:rPr>
        <w:t xml:space="preserve">E </w:t>
      </w:r>
      <w:r w:rsidRPr="00563460">
        <w:rPr>
          <w:rFonts w:ascii="微軟正黑體" w:eastAsia="微軟正黑體" w:hAnsi="微軟正黑體" w:cs="新細明體" w:hint="eastAsia"/>
          <w:color w:val="000000"/>
          <w:kern w:val="0"/>
        </w:rPr>
        <w:t>網，並參考歷年畢業學生的就業取向，藉由各職業的介紹查詢與系所相關職業的出路，將其與系上各學程領域的相關課程做結合，提供學生選修課程之建議。</w:t>
      </w:r>
    </w:p>
    <w:p w:rsidR="009D4961" w:rsidRDefault="009739C6" w:rsidP="0079356E">
      <w:pPr>
        <w:spacing w:before="100" w:beforeAutospacing="1" w:after="100" w:afterAutospacing="1" w:line="360" w:lineRule="auto"/>
        <w:rPr>
          <w:rFonts w:ascii="Calibri" w:hAnsi="Calibri" w:cs="Calibri"/>
          <w:color w:val="0000FF"/>
          <w:kern w:val="0"/>
        </w:rPr>
      </w:pPr>
      <w:hyperlink r:id="rId15" w:history="1">
        <w:r w:rsidR="00FA5C9E" w:rsidRPr="00AE7E37">
          <w:rPr>
            <w:rStyle w:val="ac"/>
            <w:rFonts w:ascii="Calibri" w:hAnsi="Calibri" w:cs="Calibri"/>
            <w:kern w:val="0"/>
          </w:rPr>
          <w:t>http://163.29.140.81/careerguide/ind/occ_index.asp?section_id=2</w:t>
        </w:r>
      </w:hyperlink>
    </w:p>
    <w:p w:rsidR="009D4961" w:rsidRPr="00563460" w:rsidRDefault="009D4961" w:rsidP="00563460">
      <w:pPr>
        <w:pStyle w:val="a9"/>
        <w:numPr>
          <w:ilvl w:val="0"/>
          <w:numId w:val="25"/>
        </w:numPr>
        <w:spacing w:before="100" w:beforeAutospacing="1" w:after="100" w:afterAutospacing="1" w:line="360" w:lineRule="auto"/>
        <w:ind w:leftChars="0"/>
        <w:rPr>
          <w:rFonts w:ascii="微軟正黑體" w:eastAsia="微軟正黑體" w:hAnsi="微軟正黑體"/>
          <w:b/>
          <w:sz w:val="40"/>
          <w:szCs w:val="40"/>
        </w:rPr>
      </w:pPr>
      <w:r w:rsidRPr="00563460">
        <w:rPr>
          <w:rFonts w:ascii="微軟正黑體" w:eastAsia="微軟正黑體" w:hAnsi="微軟正黑體" w:hint="eastAsia"/>
          <w:b/>
          <w:sz w:val="40"/>
          <w:szCs w:val="40"/>
        </w:rPr>
        <w:t>金融證照</w:t>
      </w:r>
      <w:r w:rsidR="00FA5C9E" w:rsidRPr="00563460">
        <w:rPr>
          <w:rFonts w:ascii="微軟正黑體" w:eastAsia="微軟正黑體" w:hAnsi="微軟正黑體" w:hint="eastAsia"/>
          <w:b/>
          <w:sz w:val="40"/>
          <w:szCs w:val="40"/>
        </w:rPr>
        <w:t>與就業</w:t>
      </w:r>
    </w:p>
    <w:p w:rsidR="009D4961" w:rsidRPr="00563460" w:rsidRDefault="0079356E" w:rsidP="00563460">
      <w:pPr>
        <w:pStyle w:val="a9"/>
        <w:numPr>
          <w:ilvl w:val="0"/>
          <w:numId w:val="15"/>
        </w:numPr>
        <w:spacing w:beforeLines="50" w:afterLines="50" w:line="320" w:lineRule="exact"/>
        <w:ind w:leftChars="0" w:left="363" w:hanging="357"/>
        <w:rPr>
          <w:rFonts w:ascii="微軟正黑體" w:eastAsia="微軟正黑體" w:hAnsi="微軟正黑體"/>
          <w:sz w:val="32"/>
          <w:szCs w:val="32"/>
        </w:rPr>
      </w:pPr>
      <w:r w:rsidRPr="00563460">
        <w:rPr>
          <w:rFonts w:ascii="微軟正黑體" w:eastAsia="微軟正黑體" w:hAnsi="微軟正黑體" w:hint="eastAsia"/>
          <w:bCs/>
          <w:sz w:val="32"/>
          <w:szCs w:val="32"/>
        </w:rPr>
        <w:t>金融證照與就業關係：</w:t>
      </w:r>
    </w:p>
    <w:p w:rsidR="001C079F" w:rsidRPr="00563460" w:rsidRDefault="001C079F" w:rsidP="0079356E">
      <w:pPr>
        <w:numPr>
          <w:ilvl w:val="0"/>
          <w:numId w:val="13"/>
        </w:numPr>
        <w:spacing w:before="100" w:beforeAutospacing="1" w:after="100" w:afterAutospacing="1" w:line="360" w:lineRule="auto"/>
        <w:ind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提供畢業生進入金融業的機會</w:t>
      </w:r>
    </w:p>
    <w:p w:rsidR="001C079F" w:rsidRPr="00563460" w:rsidRDefault="001C079F" w:rsidP="0079356E">
      <w:pPr>
        <w:numPr>
          <w:ilvl w:val="0"/>
          <w:numId w:val="13"/>
        </w:numPr>
        <w:spacing w:before="100" w:beforeAutospacing="1" w:after="100" w:afterAutospacing="1" w:line="360" w:lineRule="auto"/>
        <w:ind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跨業行銷的必備條件</w:t>
      </w:r>
    </w:p>
    <w:p w:rsidR="001C079F" w:rsidRPr="00563460" w:rsidRDefault="001C079F" w:rsidP="0079356E">
      <w:pPr>
        <w:numPr>
          <w:ilvl w:val="0"/>
          <w:numId w:val="13"/>
        </w:numPr>
        <w:spacing w:before="100" w:beforeAutospacing="1" w:after="100" w:afterAutospacing="1" w:line="360" w:lineRule="auto"/>
        <w:ind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客觀呈現從業人員的專業程度</w:t>
      </w:r>
    </w:p>
    <w:p w:rsidR="0079356E" w:rsidRPr="00563460" w:rsidRDefault="0079356E" w:rsidP="0079356E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證照測驗強迫從業人員持續專業訓練</w:t>
      </w:r>
    </w:p>
    <w:p w:rsidR="0079356E" w:rsidRPr="00563460" w:rsidRDefault="001C079F" w:rsidP="0079356E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提供文學院、理工學院、農學院畢業生進入金融</w:t>
      </w:r>
      <w:r w:rsidR="0079356E" w:rsidRPr="00563460">
        <w:rPr>
          <w:rFonts w:ascii="微軟正黑體" w:eastAsia="微軟正黑體" w:hAnsi="微軟正黑體" w:hint="eastAsia"/>
        </w:rPr>
        <w:t>業的機會</w:t>
      </w:r>
    </w:p>
    <w:p w:rsidR="001C079F" w:rsidRPr="00563460" w:rsidRDefault="001C079F" w:rsidP="0079356E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跨業行銷的必備條件</w:t>
      </w:r>
    </w:p>
    <w:p w:rsidR="001C079F" w:rsidRPr="00563460" w:rsidRDefault="001C079F" w:rsidP="0079356E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客觀呈現從業人員的專業程度</w:t>
      </w:r>
    </w:p>
    <w:p w:rsidR="0079356E" w:rsidRPr="00563460" w:rsidRDefault="0079356E" w:rsidP="0079356E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證照測驗強迫從業人員持續專業訓練</w:t>
      </w:r>
    </w:p>
    <w:p w:rsidR="00FA5C9E" w:rsidRDefault="00825E01" w:rsidP="0079356E">
      <w:pPr>
        <w:ind w:leftChars="-354" w:left="-850"/>
        <w:jc w:val="center"/>
      </w:pPr>
      <w:r w:rsidRPr="00825E01">
        <w:object w:dxaOrig="7201" w:dyaOrig="5401">
          <v:shape id="_x0000_i1025" type="#_x0000_t75" style="width:515pt;height:386pt" o:ole="">
            <v:imagedata r:id="rId16" o:title=""/>
          </v:shape>
          <o:OLEObject Type="Embed" ProgID="PowerPoint.Slide.12" ShapeID="_x0000_i1025" DrawAspect="Content" ObjectID="_1356509115" r:id="rId17"/>
        </w:object>
      </w:r>
    </w:p>
    <w:p w:rsidR="0079356E" w:rsidRDefault="0079356E" w:rsidP="0079356E">
      <w:pPr>
        <w:ind w:leftChars="-354" w:left="-850"/>
        <w:jc w:val="center"/>
      </w:pPr>
    </w:p>
    <w:p w:rsidR="00980C1D" w:rsidRDefault="00980C1D">
      <w:pPr>
        <w:widowControl/>
      </w:pPr>
      <w:r>
        <w:br w:type="page"/>
      </w:r>
    </w:p>
    <w:p w:rsidR="0079356E" w:rsidRPr="00563460" w:rsidRDefault="00980C1D" w:rsidP="00980C1D">
      <w:pPr>
        <w:pStyle w:val="a9"/>
        <w:numPr>
          <w:ilvl w:val="0"/>
          <w:numId w:val="15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  <w:b/>
          <w:bCs/>
          <w:sz w:val="32"/>
          <w:szCs w:val="32"/>
        </w:rPr>
      </w:pPr>
      <w:r w:rsidRPr="00563460">
        <w:rPr>
          <w:rFonts w:ascii="微軟正黑體" w:eastAsia="微軟正黑體" w:hAnsi="微軟正黑體" w:hint="eastAsia"/>
          <w:b/>
          <w:bCs/>
          <w:sz w:val="32"/>
          <w:szCs w:val="32"/>
        </w:rPr>
        <w:t>金融證照種類之簡介：</w:t>
      </w:r>
    </w:p>
    <w:p w:rsidR="00980C1D" w:rsidRDefault="00980C1D" w:rsidP="00980C1D">
      <w:r w:rsidRPr="00FA5C9E">
        <w:object w:dxaOrig="7201" w:dyaOrig="5401">
          <v:shape id="_x0000_i1026" type="#_x0000_t75" style="width:423pt;height:318pt" o:ole="">
            <v:imagedata r:id="rId18" o:title=""/>
          </v:shape>
          <o:OLEObject Type="Embed" ProgID="PowerPoint.Slide.12" ShapeID="_x0000_i1026" DrawAspect="Content" ObjectID="_1356509116" r:id="rId19"/>
        </w:object>
      </w:r>
      <w:r w:rsidRPr="00FA5C9E">
        <w:object w:dxaOrig="7201" w:dyaOrig="5401">
          <v:shape id="_x0000_i1027" type="#_x0000_t75" style="width:423pt;height:316pt" o:ole="">
            <v:imagedata r:id="rId20" o:title=""/>
          </v:shape>
          <o:OLEObject Type="Embed" ProgID="PowerPoint.Slide.12" ShapeID="_x0000_i1027" DrawAspect="Content" ObjectID="_1356509117" r:id="rId21"/>
        </w:object>
      </w:r>
      <w:r w:rsidR="004719FA" w:rsidRPr="004719FA">
        <w:object w:dxaOrig="7201" w:dyaOrig="5401">
          <v:shape id="_x0000_i1028" type="#_x0000_t75" style="width:427pt;height:319pt" o:ole="">
            <v:imagedata r:id="rId22" o:title=""/>
          </v:shape>
          <o:OLEObject Type="Embed" ProgID="PowerPoint.Slide.12" ShapeID="_x0000_i1028" DrawAspect="Content" ObjectID="_1356509118" r:id="rId23"/>
        </w:object>
      </w:r>
    </w:p>
    <w:p w:rsidR="00B560D0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  <w:sz w:val="32"/>
          <w:szCs w:val="32"/>
        </w:rPr>
      </w:pPr>
      <w:r w:rsidRPr="00563460">
        <w:rPr>
          <w:rFonts w:ascii="微軟正黑體" w:eastAsia="微軟正黑體" w:hAnsi="微軟正黑體"/>
          <w:b/>
          <w:bCs/>
          <w:sz w:val="32"/>
          <w:szCs w:val="32"/>
          <w:u w:val="single"/>
        </w:rPr>
        <w:lastRenderedPageBreak/>
        <w:t>主要辦理金融證照之機構及其網址</w:t>
      </w:r>
    </w:p>
    <w:p w:rsidR="002E0251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台灣金融研訓院(</w:t>
      </w:r>
      <w:hyperlink r:id="rId24" w:history="1">
        <w:r w:rsidRPr="00563460">
          <w:rPr>
            <w:rStyle w:val="ac"/>
            <w:rFonts w:ascii="微軟正黑體" w:eastAsia="微軟正黑體" w:hAnsi="微軟正黑體"/>
          </w:rPr>
          <w:t>www.tabf.org.tw</w:t>
        </w:r>
      </w:hyperlink>
      <w:r w:rsidRPr="00563460">
        <w:rPr>
          <w:rFonts w:ascii="微軟正黑體" w:eastAsia="微軟正黑體" w:hAnsi="微軟正黑體"/>
        </w:rPr>
        <w:t xml:space="preserve">) </w:t>
      </w:r>
    </w:p>
    <w:p w:rsidR="002E0251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中華民國證券暨期貨市場發展基金會(</w:t>
      </w:r>
      <w:hyperlink r:id="rId25" w:history="1">
        <w:r w:rsidRPr="00563460">
          <w:rPr>
            <w:rStyle w:val="ac"/>
            <w:rFonts w:ascii="微軟正黑體" w:eastAsia="微軟正黑體" w:hAnsi="微軟正黑體"/>
          </w:rPr>
          <w:t>www.sfi.org.tw</w:t>
        </w:r>
      </w:hyperlink>
      <w:r w:rsidRPr="00563460">
        <w:rPr>
          <w:rFonts w:ascii="微軟正黑體" w:eastAsia="微軟正黑體" w:hAnsi="微軟正黑體"/>
        </w:rPr>
        <w:t xml:space="preserve">) </w:t>
      </w:r>
    </w:p>
    <w:p w:rsidR="002E0251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財團法人保險事業發展中心(</w:t>
      </w:r>
      <w:hyperlink r:id="rId26" w:history="1">
        <w:r w:rsidRPr="00563460">
          <w:rPr>
            <w:rStyle w:val="ac"/>
            <w:rFonts w:ascii="微軟正黑體" w:eastAsia="微軟正黑體" w:hAnsi="微軟正黑體"/>
          </w:rPr>
          <w:t>www.iiroc.org.tw</w:t>
        </w:r>
      </w:hyperlink>
      <w:r w:rsidRPr="00563460">
        <w:rPr>
          <w:rFonts w:ascii="微軟正黑體" w:eastAsia="微軟正黑體" w:hAnsi="微軟正黑體"/>
        </w:rPr>
        <w:t xml:space="preserve">) </w:t>
      </w:r>
    </w:p>
    <w:p w:rsidR="002E0251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中華民國人壽保險商業同業公會(</w:t>
      </w:r>
      <w:hyperlink r:id="rId27" w:history="1">
        <w:r w:rsidRPr="00563460">
          <w:rPr>
            <w:rStyle w:val="ac"/>
            <w:rFonts w:ascii="微軟正黑體" w:eastAsia="微軟正黑體" w:hAnsi="微軟正黑體"/>
          </w:rPr>
          <w:t>www.lia-roc.org.tw</w:t>
        </w:r>
      </w:hyperlink>
      <w:r w:rsidRPr="00563460">
        <w:rPr>
          <w:rFonts w:ascii="微軟正黑體" w:eastAsia="微軟正黑體" w:hAnsi="微軟正黑體"/>
        </w:rPr>
        <w:t>)</w:t>
      </w:r>
      <w:r w:rsidRPr="00563460">
        <w:rPr>
          <w:rFonts w:ascii="微軟正黑體" w:eastAsia="微軟正黑體" w:hAnsi="微軟正黑體"/>
          <w:u w:val="single"/>
        </w:rPr>
        <w:t xml:space="preserve"> </w:t>
      </w:r>
    </w:p>
    <w:p w:rsidR="002E0251" w:rsidRPr="00563460" w:rsidRDefault="002E0251" w:rsidP="002E0251">
      <w:pPr>
        <w:spacing w:before="100" w:beforeAutospacing="1" w:after="100" w:afterAutospacing="1" w:line="360" w:lineRule="auto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中華民國產物保險商業同業公會(</w:t>
      </w:r>
      <w:hyperlink r:id="rId28" w:history="1">
        <w:r w:rsidRPr="00563460">
          <w:rPr>
            <w:rStyle w:val="ac"/>
            <w:rFonts w:ascii="微軟正黑體" w:eastAsia="微軟正黑體" w:hAnsi="微軟正黑體"/>
          </w:rPr>
          <w:t>www.nlia.org.tw</w:t>
        </w:r>
      </w:hyperlink>
      <w:r w:rsidRPr="00563460">
        <w:rPr>
          <w:rFonts w:ascii="微軟正黑體" w:eastAsia="微軟正黑體" w:hAnsi="微軟正黑體"/>
        </w:rPr>
        <w:t>)</w:t>
      </w:r>
    </w:p>
    <w:p w:rsidR="002E0251" w:rsidRPr="002E0251" w:rsidRDefault="002E0251" w:rsidP="002E0251"/>
    <w:p w:rsidR="002E0251" w:rsidRDefault="002E0251" w:rsidP="002E0251"/>
    <w:p w:rsidR="007454E6" w:rsidRPr="00563460" w:rsidRDefault="007454E6" w:rsidP="00563460">
      <w:pPr>
        <w:pStyle w:val="a9"/>
        <w:numPr>
          <w:ilvl w:val="0"/>
          <w:numId w:val="15"/>
        </w:numPr>
        <w:spacing w:before="100" w:beforeAutospacing="1" w:afterLines="50" w:line="320" w:lineRule="exact"/>
        <w:ind w:leftChars="0" w:left="363" w:hanging="357"/>
        <w:rPr>
          <w:rFonts w:ascii="微軟正黑體" w:eastAsia="微軟正黑體" w:hAnsi="微軟正黑體"/>
          <w:b/>
          <w:bCs/>
          <w:sz w:val="32"/>
          <w:szCs w:val="32"/>
        </w:rPr>
      </w:pPr>
      <w:r w:rsidRPr="00563460">
        <w:rPr>
          <w:rFonts w:ascii="微軟正黑體" w:eastAsia="微軟正黑體" w:hAnsi="微軟正黑體" w:hint="eastAsia"/>
          <w:b/>
          <w:bCs/>
          <w:sz w:val="32"/>
          <w:szCs w:val="32"/>
        </w:rPr>
        <w:t>主要證照與測驗機構(★13種法定證照)：</w:t>
      </w:r>
    </w:p>
    <w:p w:rsidR="007454E6" w:rsidRPr="00563460" w:rsidRDefault="007454E6" w:rsidP="00563460">
      <w:pPr>
        <w:spacing w:before="100" w:beforeAutospacing="1" w:line="280" w:lineRule="exact"/>
        <w:ind w:left="357"/>
        <w:rPr>
          <w:rFonts w:ascii="微軟正黑體" w:eastAsia="微軟正黑體" w:hAnsi="微軟正黑體"/>
          <w:bCs/>
        </w:rPr>
      </w:pPr>
      <w:r w:rsidRPr="00563460">
        <w:rPr>
          <w:rFonts w:ascii="微軟正黑體" w:eastAsia="微軟正黑體" w:hAnsi="微軟正黑體" w:hint="eastAsia"/>
          <w:bCs/>
        </w:rPr>
        <w:t>（１）金融研訓院舉辦的證照考試</w:t>
      </w:r>
    </w:p>
    <w:p w:rsid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銀行內部控制基本測驗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信託業業務人員信託業務專業測驗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理財規劃人員專業能力測驗</w:t>
      </w:r>
    </w:p>
    <w:p w:rsid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初階外匯人員專業能力測驗</w:t>
      </w:r>
    </w:p>
    <w:p w:rsid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初階授信人員專業能力測驗</w:t>
      </w:r>
    </w:p>
    <w:p w:rsidR="007454E6" w:rsidRPr="00EA6551" w:rsidRDefault="007454E6" w:rsidP="00EA6551">
      <w:pPr>
        <w:pStyle w:val="a9"/>
        <w:numPr>
          <w:ilvl w:val="0"/>
          <w:numId w:val="28"/>
        </w:numPr>
        <w:spacing w:after="100" w:afterAutospacing="1" w:line="280" w:lineRule="exact"/>
        <w:ind w:leftChars="0" w:left="1418" w:hanging="284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 xml:space="preserve">進階授信人員專業能力測驗 </w:t>
      </w:r>
    </w:p>
    <w:p w:rsidR="007454E6" w:rsidRPr="00563460" w:rsidRDefault="007454E6" w:rsidP="00563460">
      <w:pPr>
        <w:spacing w:before="100" w:beforeAutospacing="1" w:line="280" w:lineRule="exact"/>
        <w:ind w:left="357"/>
        <w:rPr>
          <w:rFonts w:ascii="微軟正黑體" w:eastAsia="微軟正黑體" w:hAnsi="微軟正黑體"/>
          <w:bCs/>
        </w:rPr>
      </w:pPr>
      <w:r w:rsidRPr="00563460">
        <w:rPr>
          <w:rFonts w:ascii="微軟正黑體" w:eastAsia="微軟正黑體" w:hAnsi="微軟正黑體" w:hint="eastAsia"/>
          <w:bCs/>
        </w:rPr>
        <w:t>（２）壽險公會</w:t>
      </w:r>
    </w:p>
    <w:p w:rsidR="007454E6" w:rsidRPr="00563460" w:rsidRDefault="00EA6551" w:rsidP="00563460">
      <w:pPr>
        <w:spacing w:after="100" w:afterAutospacing="1" w:line="280" w:lineRule="exact"/>
        <w:ind w:leftChars="416" w:left="998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</w:t>
      </w:r>
      <w:r w:rsidR="007454E6" w:rsidRPr="00563460">
        <w:rPr>
          <w:rFonts w:ascii="微軟正黑體" w:eastAsia="微軟正黑體" w:hAnsi="微軟正黑體" w:hint="eastAsia"/>
          <w:bCs/>
        </w:rPr>
        <w:t>人身保險業務員</w:t>
      </w:r>
      <w:r w:rsidRPr="00563460">
        <w:rPr>
          <w:rFonts w:ascii="微軟正黑體" w:eastAsia="微軟正黑體" w:hAnsi="微軟正黑體" w:hint="eastAsia"/>
          <w:bCs/>
        </w:rPr>
        <w:t>★</w:t>
      </w:r>
    </w:p>
    <w:p w:rsidR="007454E6" w:rsidRPr="00563460" w:rsidRDefault="007454E6" w:rsidP="00563460">
      <w:pPr>
        <w:spacing w:before="100" w:beforeAutospacing="1" w:line="280" w:lineRule="exact"/>
        <w:ind w:left="357"/>
        <w:rPr>
          <w:rFonts w:ascii="微軟正黑體" w:eastAsia="微軟正黑體" w:hAnsi="微軟正黑體"/>
          <w:bCs/>
        </w:rPr>
      </w:pPr>
      <w:r w:rsidRPr="00563460">
        <w:rPr>
          <w:rFonts w:ascii="微軟正黑體" w:eastAsia="微軟正黑體" w:hAnsi="微軟正黑體" w:hint="eastAsia"/>
          <w:bCs/>
        </w:rPr>
        <w:t>（３）保發中心</w:t>
      </w:r>
    </w:p>
    <w:p w:rsidR="007454E6" w:rsidRPr="00563460" w:rsidRDefault="00EA6551" w:rsidP="00563460">
      <w:pPr>
        <w:spacing w:after="100" w:afterAutospacing="1" w:line="280" w:lineRule="exact"/>
        <w:ind w:leftChars="416" w:left="998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</w:t>
      </w:r>
      <w:r w:rsidR="007454E6" w:rsidRPr="00563460">
        <w:rPr>
          <w:rFonts w:ascii="微軟正黑體" w:eastAsia="微軟正黑體" w:hAnsi="微軟正黑體" w:hint="eastAsia"/>
          <w:bCs/>
        </w:rPr>
        <w:t>投資型保險商品業務員</w:t>
      </w:r>
      <w:r w:rsidRPr="00563460">
        <w:rPr>
          <w:rFonts w:ascii="微軟正黑體" w:eastAsia="微軟正黑體" w:hAnsi="微軟正黑體" w:hint="eastAsia"/>
          <w:bCs/>
        </w:rPr>
        <w:t>★</w:t>
      </w:r>
    </w:p>
    <w:p w:rsidR="007454E6" w:rsidRPr="00563460" w:rsidRDefault="007454E6" w:rsidP="00563460">
      <w:pPr>
        <w:spacing w:before="100" w:beforeAutospacing="1" w:line="280" w:lineRule="exact"/>
        <w:ind w:left="357"/>
        <w:rPr>
          <w:rFonts w:ascii="微軟正黑體" w:eastAsia="微軟正黑體" w:hAnsi="微軟正黑體"/>
          <w:bCs/>
        </w:rPr>
      </w:pPr>
      <w:r w:rsidRPr="00563460">
        <w:rPr>
          <w:rFonts w:ascii="微軟正黑體" w:eastAsia="微軟正黑體" w:hAnsi="微軟正黑體" w:hint="eastAsia"/>
          <w:bCs/>
        </w:rPr>
        <w:t>（４）產險公會</w:t>
      </w:r>
    </w:p>
    <w:p w:rsidR="007454E6" w:rsidRPr="00563460" w:rsidRDefault="00EA6551" w:rsidP="00563460">
      <w:pPr>
        <w:spacing w:after="100" w:afterAutospacing="1" w:line="280" w:lineRule="exact"/>
        <w:ind w:leftChars="416" w:left="998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</w:t>
      </w:r>
      <w:r w:rsidR="007454E6" w:rsidRPr="00563460">
        <w:rPr>
          <w:rFonts w:ascii="微軟正黑體" w:eastAsia="微軟正黑體" w:hAnsi="微軟正黑體" w:hint="eastAsia"/>
          <w:bCs/>
        </w:rPr>
        <w:t>財產保險業務員</w:t>
      </w:r>
      <w:r w:rsidRPr="00563460">
        <w:rPr>
          <w:rFonts w:ascii="微軟正黑體" w:eastAsia="微軟正黑體" w:hAnsi="微軟正黑體" w:hint="eastAsia"/>
          <w:bCs/>
        </w:rPr>
        <w:t>★</w:t>
      </w:r>
    </w:p>
    <w:p w:rsidR="00EA6551" w:rsidRDefault="007454E6" w:rsidP="00EA6551">
      <w:pPr>
        <w:spacing w:line="240" w:lineRule="exact"/>
        <w:ind w:left="357"/>
        <w:rPr>
          <w:rFonts w:ascii="微軟正黑體" w:eastAsia="微軟正黑體" w:hAnsi="微軟正黑體" w:hint="eastAsia"/>
          <w:bCs/>
        </w:rPr>
      </w:pPr>
      <w:r w:rsidRPr="00563460">
        <w:rPr>
          <w:rFonts w:ascii="微軟正黑體" w:eastAsia="微軟正黑體" w:hAnsi="微軟正黑體" w:hint="eastAsia"/>
          <w:bCs/>
        </w:rPr>
        <w:t>（５）證券暨期貨市場發展基金會</w:t>
      </w:r>
    </w:p>
    <w:p w:rsidR="00EA6551" w:rsidRDefault="00EA6551" w:rsidP="00EA6551">
      <w:pPr>
        <w:spacing w:line="240" w:lineRule="exact"/>
        <w:ind w:left="357"/>
        <w:rPr>
          <w:rFonts w:ascii="微軟正黑體" w:eastAsia="微軟正黑體" w:hAnsi="微軟正黑體" w:hint="eastAsia"/>
          <w:bCs/>
        </w:rPr>
      </w:pP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證券商業務員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證券商高級業務員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證券投資分析人員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lastRenderedPageBreak/>
        <w:t>投信投顧業務員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期貨商業務員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期貨交易分析人員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債券人員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股務人員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企業內控</w:t>
      </w:r>
    </w:p>
    <w:p w:rsidR="00EA6551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 w:hint="eastAsia"/>
          <w:bCs/>
        </w:rPr>
      </w:pPr>
      <w:r w:rsidRPr="00EA6551">
        <w:rPr>
          <w:rFonts w:ascii="微軟正黑體" w:eastAsia="微軟正黑體" w:hAnsi="微軟正黑體" w:hint="eastAsia"/>
          <w:bCs/>
        </w:rPr>
        <w:t>資產證券化</w:t>
      </w:r>
    </w:p>
    <w:p w:rsidR="007454E6" w:rsidRPr="00EA6551" w:rsidRDefault="007454E6" w:rsidP="00EA6551">
      <w:pPr>
        <w:pStyle w:val="a9"/>
        <w:numPr>
          <w:ilvl w:val="0"/>
          <w:numId w:val="30"/>
        </w:numPr>
        <w:spacing w:after="100" w:afterAutospacing="1" w:line="280" w:lineRule="exact"/>
        <w:ind w:leftChars="0" w:left="1418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票券商業務人員</w:t>
      </w:r>
      <w:r w:rsidR="00EA6551" w:rsidRPr="00EA6551">
        <w:rPr>
          <w:rFonts w:ascii="微軟正黑體" w:eastAsia="微軟正黑體" w:hAnsi="微軟正黑體" w:hint="eastAsia"/>
          <w:bCs/>
        </w:rPr>
        <w:t>★</w:t>
      </w:r>
    </w:p>
    <w:p w:rsidR="000B7D6B" w:rsidRPr="00563460" w:rsidRDefault="000B7D6B" w:rsidP="000B7D6B">
      <w:pPr>
        <w:pStyle w:val="a9"/>
        <w:numPr>
          <w:ilvl w:val="0"/>
          <w:numId w:val="15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/>
          <w:b/>
          <w:bCs/>
          <w:sz w:val="32"/>
          <w:szCs w:val="32"/>
        </w:rPr>
      </w:pPr>
      <w:r w:rsidRPr="00563460">
        <w:rPr>
          <w:rFonts w:ascii="微軟正黑體" w:eastAsia="微軟正黑體" w:hAnsi="微軟正黑體" w:hint="eastAsia"/>
          <w:b/>
          <w:bCs/>
          <w:sz w:val="32"/>
          <w:szCs w:val="32"/>
        </w:rPr>
        <w:t>法定金融證照測驗模組化（應考科目有20種）：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金融市場常識與職業道德。（由台灣金融研訓院、證券發展基金會、保險事業發展中心等相關測驗單位共同整理題庫上網公告週知，以供測驗單位及應考人免費使用。）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證券交易相關法規與實務。（分A、B卷）（測驗單位：證券發展基金會）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證券投資與財務分析。（分A、B、C卷，C卷含會計學）（測驗單位：證券發展基金會）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總體經濟及金融市場。（測驗單位：證券發展基金會）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期貨交易法規。（分A、B卷）（測驗單位：證券發展基金會）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期貨交易理論與實務。（測驗單位：證券發展基金會）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期貨、選擇權與其他衍生性商品。（測驗單位：證券發展基金會）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衍生性商品之風險管理。（測驗單位：證券發展基金會）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投信投顧相關法規。（測驗單位：證券發展基金會）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 xml:space="preserve">股務作業法規與實務。（測驗單位：證券發展基金會） 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票券金融法規。（測驗單位：證券發展基金會）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票券金融實務。（測驗單位：證券發展基金會）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信託法規。（測驗單位：台灣金融研訓院）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信託實務。（測驗單位：台灣金融研訓院）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銀行內部控制法規。（測驗單位：台灣金融研訓院）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銀行內部控制制度（測驗單位：台灣金融研訓院）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人身保險法規與實務。（測驗單位：壽險公會）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財產保險法規與實務。（測驗單位：產物保險公會）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投資型保險商品概要、金融體系概述。（測驗單位：保險事業發展中心）</w:t>
      </w:r>
    </w:p>
    <w:p w:rsidR="000B7D6B" w:rsidRPr="00EA6551" w:rsidRDefault="000B7D6B" w:rsidP="00563460">
      <w:pPr>
        <w:pStyle w:val="a9"/>
        <w:numPr>
          <w:ilvl w:val="1"/>
          <w:numId w:val="24"/>
        </w:numPr>
        <w:spacing w:line="280" w:lineRule="exact"/>
        <w:ind w:leftChars="0" w:left="1418" w:hanging="567"/>
        <w:jc w:val="both"/>
        <w:rPr>
          <w:rFonts w:ascii="微軟正黑體" w:eastAsia="微軟正黑體" w:hAnsi="微軟正黑體"/>
          <w:bCs/>
        </w:rPr>
      </w:pPr>
      <w:r w:rsidRPr="00EA6551">
        <w:rPr>
          <w:rFonts w:ascii="微軟正黑體" w:eastAsia="微軟正黑體" w:hAnsi="微軟正黑體" w:hint="eastAsia"/>
          <w:bCs/>
        </w:rPr>
        <w:t>投資學概要、債券與證券之評價分析、投資組合管理。（測驗單位：保險事業發展中心）</w:t>
      </w:r>
    </w:p>
    <w:p w:rsidR="00DE2C2D" w:rsidRPr="00563460" w:rsidRDefault="00DE2C2D" w:rsidP="00EA6551">
      <w:pPr>
        <w:pStyle w:val="a9"/>
        <w:numPr>
          <w:ilvl w:val="0"/>
          <w:numId w:val="15"/>
        </w:numPr>
        <w:spacing w:beforeLines="100" w:afterLines="50" w:line="240" w:lineRule="exact"/>
        <w:ind w:leftChars="0" w:left="363" w:hanging="357"/>
        <w:rPr>
          <w:rFonts w:ascii="微軟正黑體" w:eastAsia="微軟正黑體" w:hAnsi="微軟正黑體"/>
          <w:b/>
          <w:bCs/>
          <w:sz w:val="32"/>
          <w:szCs w:val="32"/>
        </w:rPr>
      </w:pPr>
      <w:r w:rsidRPr="00563460">
        <w:rPr>
          <w:rFonts w:ascii="微軟正黑體" w:eastAsia="微軟正黑體" w:hAnsi="微軟正黑體" w:hint="eastAsia"/>
          <w:b/>
          <w:bCs/>
          <w:sz w:val="32"/>
          <w:szCs w:val="32"/>
        </w:rPr>
        <w:t>目前較熱門的國際證照：</w:t>
      </w:r>
    </w:p>
    <w:p w:rsidR="00DE2C2D" w:rsidRPr="00563460" w:rsidRDefault="00DE2C2D" w:rsidP="00EA6551">
      <w:pPr>
        <w:spacing w:beforeLines="50" w:afterLines="50"/>
        <w:ind w:firstLineChars="100" w:firstLine="280"/>
        <w:rPr>
          <w:rFonts w:ascii="微軟正黑體" w:eastAsia="微軟正黑體" w:hAnsi="微軟正黑體"/>
          <w:bCs/>
          <w:sz w:val="28"/>
          <w:szCs w:val="28"/>
        </w:rPr>
      </w:pPr>
      <w:r w:rsidRPr="00563460">
        <w:rPr>
          <w:rFonts w:ascii="微軟正黑體" w:eastAsia="微軟正黑體" w:hAnsi="微軟正黑體" w:hint="eastAsia"/>
          <w:bCs/>
          <w:sz w:val="28"/>
          <w:szCs w:val="28"/>
        </w:rPr>
        <w:t>（１）金融風險管理師</w:t>
      </w:r>
      <w:r w:rsidRPr="00563460">
        <w:rPr>
          <w:rFonts w:ascii="微軟正黑體" w:eastAsia="微軟正黑體" w:hAnsi="微軟正黑體"/>
          <w:bCs/>
          <w:sz w:val="28"/>
          <w:szCs w:val="28"/>
        </w:rPr>
        <w:t>(FRM)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993"/>
        </w:tabs>
        <w:spacing w:before="100" w:beforeAutospacing="1" w:after="100" w:afterAutospacing="1" w:line="32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主辦單位</w:t>
      </w:r>
      <w:r w:rsidRPr="00563460">
        <w:rPr>
          <w:rFonts w:ascii="微軟正黑體" w:eastAsia="微軟正黑體" w:hAnsi="微軟正黑體"/>
        </w:rPr>
        <w:t>:</w:t>
      </w:r>
      <w:r w:rsidRPr="00563460">
        <w:rPr>
          <w:rFonts w:ascii="微軟正黑體" w:eastAsia="微軟正黑體" w:hAnsi="微軟正黑體" w:hint="eastAsia"/>
        </w:rPr>
        <w:t>美國全國風險管理學會</w:t>
      </w:r>
      <w:r w:rsidRPr="00563460">
        <w:rPr>
          <w:rFonts w:ascii="微軟正黑體" w:eastAsia="微軟正黑體" w:hAnsi="微軟正黑體"/>
        </w:rPr>
        <w:t>,GARP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993"/>
        </w:tabs>
        <w:spacing w:before="100" w:beforeAutospacing="1" w:after="100" w:afterAutospacing="1" w:line="32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1997</w:t>
      </w:r>
      <w:r w:rsidRPr="00563460">
        <w:rPr>
          <w:rFonts w:ascii="微軟正黑體" w:eastAsia="微軟正黑體" w:hAnsi="微軟正黑體" w:hint="eastAsia"/>
        </w:rPr>
        <w:t>年開辦，至</w:t>
      </w:r>
      <w:r w:rsidRPr="00563460">
        <w:rPr>
          <w:rFonts w:ascii="微軟正黑體" w:eastAsia="微軟正黑體" w:hAnsi="微軟正黑體"/>
        </w:rPr>
        <w:t>2006</w:t>
      </w:r>
      <w:r w:rsidRPr="00563460">
        <w:rPr>
          <w:rFonts w:ascii="微軟正黑體" w:eastAsia="微軟正黑體" w:hAnsi="微軟正黑體" w:hint="eastAsia"/>
        </w:rPr>
        <w:t>年止持有</w:t>
      </w:r>
      <w:r w:rsidRPr="00563460">
        <w:rPr>
          <w:rFonts w:ascii="微軟正黑體" w:eastAsia="微軟正黑體" w:hAnsi="微軟正黑體"/>
        </w:rPr>
        <w:t>FRM</w:t>
      </w:r>
      <w:r w:rsidRPr="00563460">
        <w:rPr>
          <w:rFonts w:ascii="微軟正黑體" w:eastAsia="微軟正黑體" w:hAnsi="微軟正黑體" w:hint="eastAsia"/>
        </w:rPr>
        <w:t>證照者約</w:t>
      </w:r>
      <w:r w:rsidRPr="00563460">
        <w:rPr>
          <w:rFonts w:ascii="微軟正黑體" w:eastAsia="微軟正黑體" w:hAnsi="微軟正黑體"/>
        </w:rPr>
        <w:t>10,685</w:t>
      </w:r>
      <w:r w:rsidRPr="00563460">
        <w:rPr>
          <w:rFonts w:ascii="微軟正黑體" w:eastAsia="微軟正黑體" w:hAnsi="微軟正黑體" w:hint="eastAsia"/>
        </w:rPr>
        <w:t>人；其中約有</w:t>
      </w:r>
      <w:r w:rsidRPr="00563460">
        <w:rPr>
          <w:rFonts w:ascii="微軟正黑體" w:eastAsia="微軟正黑體" w:hAnsi="微軟正黑體"/>
        </w:rPr>
        <w:t>400</w:t>
      </w:r>
      <w:r w:rsidRPr="00563460">
        <w:rPr>
          <w:rFonts w:ascii="微軟正黑體" w:eastAsia="微軟正黑體" w:hAnsi="微軟正黑體" w:hint="eastAsia"/>
        </w:rPr>
        <w:t>人來自台灣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993"/>
        </w:tabs>
        <w:spacing w:before="100" w:beforeAutospacing="1" w:after="100" w:afterAutospacing="1" w:line="32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無年齡及學歷限制，學生亦可報考，但須提供</w:t>
      </w:r>
      <w:r w:rsidRPr="00563460">
        <w:rPr>
          <w:rFonts w:ascii="微軟正黑體" w:eastAsia="微軟正黑體" w:hAnsi="微軟正黑體"/>
        </w:rPr>
        <w:t>2</w:t>
      </w:r>
      <w:r w:rsidRPr="00563460">
        <w:rPr>
          <w:rFonts w:ascii="微軟正黑體" w:eastAsia="微軟正黑體" w:hAnsi="微軟正黑體" w:hint="eastAsia"/>
        </w:rPr>
        <w:t>年工作經歷證明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993"/>
        </w:tabs>
        <w:spacing w:before="100" w:beforeAutospacing="1" w:after="100" w:afterAutospacing="1" w:line="32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lastRenderedPageBreak/>
        <w:t>主要科目分成四個部分，分別為數量及統計</w:t>
      </w:r>
      <w:r w:rsidRPr="00563460">
        <w:rPr>
          <w:rFonts w:ascii="微軟正黑體" w:eastAsia="微軟正黑體" w:hAnsi="微軟正黑體"/>
        </w:rPr>
        <w:t>(10%)</w:t>
      </w:r>
      <w:r w:rsidRPr="00563460">
        <w:rPr>
          <w:rFonts w:ascii="微軟正黑體" w:eastAsia="微軟正黑體" w:hAnsi="微軟正黑體" w:hint="eastAsia"/>
        </w:rPr>
        <w:t>、市場風險</w:t>
      </w:r>
      <w:r w:rsidRPr="00563460">
        <w:rPr>
          <w:rFonts w:ascii="微軟正黑體" w:eastAsia="微軟正黑體" w:hAnsi="微軟正黑體"/>
        </w:rPr>
        <w:t>(30%)</w:t>
      </w:r>
      <w:r w:rsidRPr="00563460">
        <w:rPr>
          <w:rFonts w:ascii="微軟正黑體" w:eastAsia="微軟正黑體" w:hAnsi="微軟正黑體" w:hint="eastAsia"/>
        </w:rPr>
        <w:t xml:space="preserve">，信用風險 </w:t>
      </w:r>
      <w:r w:rsidRPr="00563460">
        <w:rPr>
          <w:rFonts w:ascii="微軟正黑體" w:eastAsia="微軟正黑體" w:hAnsi="微軟正黑體"/>
        </w:rPr>
        <w:t>(25%)</w:t>
      </w:r>
      <w:r w:rsidRPr="00563460">
        <w:rPr>
          <w:rFonts w:ascii="微軟正黑體" w:eastAsia="微軟正黑體" w:hAnsi="微軟正黑體" w:hint="eastAsia"/>
        </w:rPr>
        <w:t>，作業風險和法規道德等</w:t>
      </w:r>
      <w:r w:rsidRPr="00563460">
        <w:rPr>
          <w:rFonts w:ascii="微軟正黑體" w:eastAsia="微軟正黑體" w:hAnsi="微軟正黑體"/>
        </w:rPr>
        <w:t xml:space="preserve">(25%) </w:t>
      </w:r>
      <w:r w:rsidRPr="00563460">
        <w:rPr>
          <w:rFonts w:ascii="微軟正黑體" w:eastAsia="微軟正黑體" w:hAnsi="微軟正黑體" w:hint="eastAsia"/>
        </w:rPr>
        <w:t xml:space="preserve">，投資風險管理 </w:t>
      </w:r>
      <w:r w:rsidRPr="00563460">
        <w:rPr>
          <w:rFonts w:ascii="微軟正黑體" w:eastAsia="微軟正黑體" w:hAnsi="微軟正黑體"/>
        </w:rPr>
        <w:t>(10%)</w:t>
      </w:r>
    </w:p>
    <w:p w:rsidR="00DE2C2D" w:rsidRPr="00563460" w:rsidRDefault="00DE2C2D" w:rsidP="00EA6551">
      <w:pPr>
        <w:tabs>
          <w:tab w:val="left" w:pos="4650"/>
        </w:tabs>
        <w:spacing w:beforeLines="50" w:afterLines="50" w:line="380" w:lineRule="exact"/>
        <w:ind w:firstLineChars="100" w:firstLine="280"/>
        <w:rPr>
          <w:rFonts w:ascii="微軟正黑體" w:eastAsia="微軟正黑體" w:hAnsi="微軟正黑體"/>
          <w:bCs/>
          <w:sz w:val="28"/>
          <w:szCs w:val="28"/>
        </w:rPr>
      </w:pPr>
      <w:r w:rsidRPr="00563460">
        <w:rPr>
          <w:rFonts w:ascii="微軟正黑體" w:eastAsia="微軟正黑體" w:hAnsi="微軟正黑體" w:hint="eastAsia"/>
          <w:bCs/>
          <w:sz w:val="28"/>
          <w:szCs w:val="28"/>
        </w:rPr>
        <w:t>（２）認證理財規劃顧問</w:t>
      </w:r>
      <w:r w:rsidRPr="00563460">
        <w:rPr>
          <w:rFonts w:ascii="微軟正黑體" w:eastAsia="微軟正黑體" w:hAnsi="微軟正黑體"/>
          <w:bCs/>
          <w:sz w:val="28"/>
          <w:szCs w:val="28"/>
        </w:rPr>
        <w:t>(CFP)</w:t>
      </w:r>
      <w:r w:rsidR="00EA6551">
        <w:rPr>
          <w:rFonts w:ascii="微軟正黑體" w:eastAsia="微軟正黑體" w:hAnsi="微軟正黑體"/>
          <w:bCs/>
          <w:sz w:val="28"/>
          <w:szCs w:val="28"/>
        </w:rPr>
        <w:tab/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</w:tabs>
        <w:spacing w:before="100" w:beforeAutospacing="1" w:after="100" w:afterAutospacing="1" w:line="320" w:lineRule="exact"/>
        <w:ind w:leftChars="0" w:left="1134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1991</w:t>
      </w:r>
      <w:r w:rsidRPr="00563460">
        <w:rPr>
          <w:rFonts w:ascii="微軟正黑體" w:eastAsia="微軟正黑體" w:hAnsi="微軟正黑體" w:hint="eastAsia"/>
        </w:rPr>
        <w:t>年開始舉辦以來，全球已經有超過</w:t>
      </w:r>
      <w:r w:rsidRPr="00563460">
        <w:rPr>
          <w:rFonts w:ascii="微軟正黑體" w:eastAsia="微軟正黑體" w:hAnsi="微軟正黑體"/>
        </w:rPr>
        <w:t>60,000</w:t>
      </w:r>
      <w:r w:rsidRPr="00563460">
        <w:rPr>
          <w:rFonts w:ascii="微軟正黑體" w:eastAsia="微軟正黑體" w:hAnsi="微軟正黑體" w:hint="eastAsia"/>
        </w:rPr>
        <w:t>人有該證照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</w:tabs>
        <w:spacing w:before="100" w:beforeAutospacing="1" w:after="100" w:afterAutospacing="1" w:line="320" w:lineRule="exact"/>
        <w:ind w:leftChars="0" w:left="1134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CFP</w:t>
      </w:r>
      <w:r w:rsidRPr="00563460">
        <w:rPr>
          <w:rFonts w:ascii="微軟正黑體" w:eastAsia="微軟正黑體" w:hAnsi="微軟正黑體" w:hint="eastAsia"/>
        </w:rPr>
        <w:t>包含了投資、節稅、保險、個人理財、信託等綜合理財所需知識，強調</w:t>
      </w:r>
      <w:r w:rsidRPr="00563460">
        <w:rPr>
          <w:rFonts w:ascii="微軟正黑體" w:eastAsia="微軟正黑體" w:hAnsi="微軟正黑體"/>
        </w:rPr>
        <w:t xml:space="preserve">4E(Education </w:t>
      </w:r>
      <w:r w:rsidRPr="00563460">
        <w:rPr>
          <w:rFonts w:ascii="微軟正黑體" w:eastAsia="微軟正黑體" w:hAnsi="微軟正黑體" w:hint="eastAsia"/>
        </w:rPr>
        <w:t>、</w:t>
      </w:r>
      <w:r w:rsidRPr="00563460">
        <w:rPr>
          <w:rFonts w:ascii="微軟正黑體" w:eastAsia="微軟正黑體" w:hAnsi="微軟正黑體"/>
        </w:rPr>
        <w:t xml:space="preserve">Examination </w:t>
      </w:r>
      <w:r w:rsidRPr="00563460">
        <w:rPr>
          <w:rFonts w:ascii="微軟正黑體" w:eastAsia="微軟正黑體" w:hAnsi="微軟正黑體" w:hint="eastAsia"/>
        </w:rPr>
        <w:t>、</w:t>
      </w:r>
      <w:r w:rsidRPr="00563460">
        <w:rPr>
          <w:rFonts w:ascii="微軟正黑體" w:eastAsia="微軟正黑體" w:hAnsi="微軟正黑體"/>
        </w:rPr>
        <w:t xml:space="preserve">Experience </w:t>
      </w:r>
      <w:r w:rsidRPr="00563460">
        <w:rPr>
          <w:rFonts w:ascii="微軟正黑體" w:eastAsia="微軟正黑體" w:hAnsi="微軟正黑體" w:hint="eastAsia"/>
        </w:rPr>
        <w:t>、</w:t>
      </w:r>
      <w:r w:rsidRPr="00563460">
        <w:rPr>
          <w:rFonts w:ascii="微軟正黑體" w:eastAsia="微軟正黑體" w:hAnsi="微軟正黑體"/>
        </w:rPr>
        <w:t xml:space="preserve">Ethics) </w:t>
      </w:r>
      <w:r w:rsidRPr="00563460">
        <w:rPr>
          <w:rFonts w:ascii="微軟正黑體" w:eastAsia="微軟正黑體" w:hAnsi="微軟正黑體" w:hint="eastAsia"/>
        </w:rPr>
        <w:t>；共有六個單元，總訓練時數約</w:t>
      </w:r>
      <w:r w:rsidRPr="00563460">
        <w:rPr>
          <w:rFonts w:ascii="微軟正黑體" w:eastAsia="微軟正黑體" w:hAnsi="微軟正黑體"/>
        </w:rPr>
        <w:t>240</w:t>
      </w:r>
      <w:r w:rsidRPr="00563460">
        <w:rPr>
          <w:rFonts w:ascii="微軟正黑體" w:eastAsia="微軟正黑體" w:hAnsi="微軟正黑體" w:hint="eastAsia"/>
        </w:rPr>
        <w:t>小時，惟每單元有不同之訓練或資格認定標準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</w:tabs>
        <w:spacing w:before="100" w:beforeAutospacing="1" w:line="320" w:lineRule="exact"/>
        <w:ind w:leftChars="0" w:left="1134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台灣主辦單位：社團法人臺灣理財顧問認證協會</w:t>
      </w:r>
    </w:p>
    <w:p w:rsidR="00DE2C2D" w:rsidRPr="00563460" w:rsidRDefault="00EA6551" w:rsidP="00EA6551">
      <w:pPr>
        <w:pStyle w:val="a9"/>
        <w:widowControl/>
        <w:spacing w:line="320" w:lineRule="exact"/>
        <w:ind w:leftChars="0" w:left="1134" w:hanging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DE2C2D" w:rsidRPr="00563460">
        <w:rPr>
          <w:rFonts w:ascii="微軟正黑體" w:eastAsia="微軟正黑體" w:hAnsi="微軟正黑體"/>
        </w:rPr>
        <w:t>(</w:t>
      </w:r>
      <w:r w:rsidR="00DE2C2D" w:rsidRPr="00563460">
        <w:rPr>
          <w:rFonts w:ascii="微軟正黑體" w:eastAsia="微軟正黑體" w:hAnsi="微軟正黑體" w:hint="eastAsia"/>
        </w:rPr>
        <w:t>網址為</w:t>
      </w:r>
      <w:r w:rsidR="00DE2C2D" w:rsidRPr="00563460">
        <w:rPr>
          <w:rFonts w:ascii="微軟正黑體" w:eastAsia="微軟正黑體" w:hAnsi="微軟正黑體"/>
        </w:rPr>
        <w:t xml:space="preserve">http://www.fpat.org.tw) 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</w:tabs>
        <w:spacing w:after="100" w:afterAutospacing="1" w:line="320" w:lineRule="exact"/>
        <w:ind w:leftChars="0" w:left="1134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2004</w:t>
      </w:r>
      <w:r w:rsidRPr="00563460">
        <w:rPr>
          <w:rFonts w:ascii="微軟正黑體" w:eastAsia="微軟正黑體" w:hAnsi="微軟正黑體" w:hint="eastAsia"/>
        </w:rPr>
        <w:t>年</w:t>
      </w:r>
      <w:r w:rsidRPr="00563460">
        <w:rPr>
          <w:rFonts w:ascii="微軟正黑體" w:eastAsia="微軟正黑體" w:hAnsi="微軟正黑體"/>
        </w:rPr>
        <w:t>9</w:t>
      </w:r>
      <w:r w:rsidRPr="00563460">
        <w:rPr>
          <w:rFonts w:ascii="微軟正黑體" w:eastAsia="微軟正黑體" w:hAnsi="微軟正黑體" w:hint="eastAsia"/>
        </w:rPr>
        <w:t>月首次在台舉辦，每年</w:t>
      </w:r>
      <w:r w:rsidRPr="00563460">
        <w:rPr>
          <w:rFonts w:ascii="微軟正黑體" w:eastAsia="微軟正黑體" w:hAnsi="微軟正黑體"/>
        </w:rPr>
        <w:t>3</w:t>
      </w:r>
      <w:r w:rsidRPr="00563460">
        <w:rPr>
          <w:rFonts w:ascii="微軟正黑體" w:eastAsia="微軟正黑體" w:hAnsi="微軟正黑體" w:hint="eastAsia"/>
        </w:rPr>
        <w:t>月及</w:t>
      </w:r>
      <w:r w:rsidRPr="00563460">
        <w:rPr>
          <w:rFonts w:ascii="微軟正黑體" w:eastAsia="微軟正黑體" w:hAnsi="微軟正黑體"/>
        </w:rPr>
        <w:t>9</w:t>
      </w:r>
      <w:r w:rsidRPr="00563460">
        <w:rPr>
          <w:rFonts w:ascii="微軟正黑體" w:eastAsia="微軟正黑體" w:hAnsi="微軟正黑體" w:hint="eastAsia"/>
        </w:rPr>
        <w:t>月各舉辦乙次；試務代辦機構：台灣金融研訓院</w:t>
      </w:r>
    </w:p>
    <w:p w:rsidR="00DE2C2D" w:rsidRPr="00563460" w:rsidRDefault="00DE2C2D" w:rsidP="00EA6551">
      <w:pPr>
        <w:spacing w:afterLines="50" w:line="340" w:lineRule="exact"/>
        <w:ind w:firstLineChars="100" w:firstLine="280"/>
        <w:rPr>
          <w:rFonts w:ascii="微軟正黑體" w:eastAsia="微軟正黑體" w:hAnsi="微軟正黑體"/>
          <w:bCs/>
          <w:sz w:val="28"/>
          <w:szCs w:val="28"/>
        </w:rPr>
      </w:pPr>
      <w:r w:rsidRPr="00563460">
        <w:rPr>
          <w:rFonts w:ascii="微軟正黑體" w:eastAsia="微軟正黑體" w:hAnsi="微軟正黑體" w:hint="eastAsia"/>
          <w:bCs/>
          <w:sz w:val="28"/>
          <w:szCs w:val="28"/>
        </w:rPr>
        <w:t>（３）特許財務分析師（</w:t>
      </w:r>
      <w:r w:rsidRPr="00563460">
        <w:rPr>
          <w:rFonts w:ascii="微軟正黑體" w:eastAsia="微軟正黑體" w:hAnsi="微軟正黑體"/>
          <w:bCs/>
          <w:sz w:val="28"/>
          <w:szCs w:val="28"/>
        </w:rPr>
        <w:t>CFA</w:t>
      </w:r>
      <w:r w:rsidRPr="00563460">
        <w:rPr>
          <w:rFonts w:ascii="微軟正黑體" w:eastAsia="微軟正黑體" w:hAnsi="微軟正黑體" w:hint="eastAsia"/>
          <w:bCs/>
          <w:sz w:val="28"/>
          <w:szCs w:val="28"/>
        </w:rPr>
        <w:t>）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由美國投資管理研究學會</w:t>
      </w:r>
      <w:r w:rsidRPr="00563460">
        <w:rPr>
          <w:rFonts w:ascii="微軟正黑體" w:eastAsia="微軟正黑體" w:hAnsi="微軟正黑體"/>
        </w:rPr>
        <w:t>(</w:t>
      </w:r>
      <w:r w:rsidRPr="00563460">
        <w:rPr>
          <w:rFonts w:ascii="微軟正黑體" w:eastAsia="微軟正黑體" w:hAnsi="微軟正黑體" w:hint="eastAsia"/>
        </w:rPr>
        <w:t>簡稱</w:t>
      </w:r>
      <w:r w:rsidRPr="00563460">
        <w:rPr>
          <w:rFonts w:ascii="微軟正黑體" w:eastAsia="微軟正黑體" w:hAnsi="微軟正黑體"/>
        </w:rPr>
        <w:t>CFAI)</w:t>
      </w:r>
      <w:r w:rsidRPr="00563460">
        <w:rPr>
          <w:rFonts w:ascii="微軟正黑體" w:eastAsia="微軟正黑體" w:hAnsi="微軟正黑體" w:hint="eastAsia"/>
        </w:rPr>
        <w:t>主辦，已超過</w:t>
      </w:r>
      <w:r w:rsidRPr="00563460">
        <w:rPr>
          <w:rFonts w:ascii="微軟正黑體" w:eastAsia="微軟正黑體" w:hAnsi="微軟正黑體"/>
        </w:rPr>
        <w:t>40</w:t>
      </w:r>
      <w:r w:rsidRPr="00563460">
        <w:rPr>
          <w:rFonts w:ascii="微軟正黑體" w:eastAsia="微軟正黑體" w:hAnsi="微軟正黑體" w:hint="eastAsia"/>
        </w:rPr>
        <w:t>年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CFA</w:t>
      </w:r>
      <w:r w:rsidRPr="00563460">
        <w:rPr>
          <w:rFonts w:ascii="微軟正黑體" w:eastAsia="微軟正黑體" w:hAnsi="微軟正黑體" w:hint="eastAsia"/>
        </w:rPr>
        <w:t>主要考試內容包含經濟學、數量分析、財務報表分析、公司財務、資產定價、投資組合管理及</w:t>
      </w:r>
      <w:r w:rsidRPr="00563460">
        <w:rPr>
          <w:rFonts w:ascii="微軟正黑體" w:eastAsia="微軟正黑體" w:hAnsi="微軟正黑體"/>
        </w:rPr>
        <w:t>CFAI</w:t>
      </w:r>
      <w:r w:rsidRPr="00563460">
        <w:rPr>
          <w:rFonts w:ascii="微軟正黑體" w:eastAsia="微軟正黑體" w:hAnsi="微軟正黑體" w:hint="eastAsia"/>
        </w:rPr>
        <w:t>專業準則等等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共分三級</w:t>
      </w:r>
      <w:r w:rsidRPr="00563460">
        <w:rPr>
          <w:rFonts w:ascii="微軟正黑體" w:eastAsia="微軟正黑體" w:hAnsi="微軟正黑體"/>
        </w:rPr>
        <w:t>(L1~L3)</w:t>
      </w:r>
      <w:r w:rsidRPr="00563460">
        <w:rPr>
          <w:rFonts w:ascii="微軟正黑體" w:eastAsia="微軟正黑體" w:hAnsi="微軟正黑體" w:hint="eastAsia"/>
        </w:rPr>
        <w:t>，於每年五月底，</w:t>
      </w:r>
      <w:r w:rsidRPr="00563460">
        <w:rPr>
          <w:rFonts w:ascii="微軟正黑體" w:eastAsia="微軟正黑體" w:hAnsi="微軟正黑體"/>
        </w:rPr>
        <w:t>6</w:t>
      </w:r>
      <w:r w:rsidRPr="00563460">
        <w:rPr>
          <w:rFonts w:ascii="微軟正黑體" w:eastAsia="微軟正黑體" w:hAnsi="微軟正黑體" w:hint="eastAsia"/>
        </w:rPr>
        <w:t>月初同一天舉辦，自</w:t>
      </w:r>
      <w:r w:rsidRPr="00563460">
        <w:rPr>
          <w:rFonts w:ascii="微軟正黑體" w:eastAsia="微軟正黑體" w:hAnsi="微軟正黑體"/>
        </w:rPr>
        <w:t>06</w:t>
      </w:r>
      <w:r w:rsidRPr="00563460">
        <w:rPr>
          <w:rFonts w:ascii="微軟正黑體" w:eastAsia="微軟正黑體" w:hAnsi="微軟正黑體" w:hint="eastAsia"/>
        </w:rPr>
        <w:t>年起</w:t>
      </w:r>
      <w:r w:rsidRPr="00563460">
        <w:rPr>
          <w:rFonts w:ascii="微軟正黑體" w:eastAsia="微軟正黑體" w:hAnsi="微軟正黑體"/>
        </w:rPr>
        <w:t>L1</w:t>
      </w:r>
      <w:r w:rsidRPr="00563460">
        <w:rPr>
          <w:rFonts w:ascii="微軟正黑體" w:eastAsia="微軟正黑體" w:hAnsi="微軟正黑體" w:hint="eastAsia"/>
        </w:rPr>
        <w:t>於</w:t>
      </w:r>
      <w:r w:rsidRPr="00563460">
        <w:rPr>
          <w:rFonts w:ascii="微軟正黑體" w:eastAsia="微軟正黑體" w:hAnsi="微軟正黑體"/>
        </w:rPr>
        <w:t>12</w:t>
      </w:r>
      <w:r w:rsidRPr="00563460">
        <w:rPr>
          <w:rFonts w:ascii="微軟正黑體" w:eastAsia="微軟正黑體" w:hAnsi="微軟正黑體" w:hint="eastAsia"/>
        </w:rPr>
        <w:t>月加考一場，故最快約三年可取得</w:t>
      </w:r>
      <w:r w:rsidRPr="00563460">
        <w:rPr>
          <w:rFonts w:ascii="微軟正黑體" w:eastAsia="微軟正黑體" w:hAnsi="微軟正黑體"/>
        </w:rPr>
        <w:t>CFA</w:t>
      </w:r>
      <w:r w:rsidRPr="00563460">
        <w:rPr>
          <w:rFonts w:ascii="微軟正黑體" w:eastAsia="微軟正黑體" w:hAnsi="微軟正黑體" w:hint="eastAsia"/>
        </w:rPr>
        <w:t>資格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以美國為例，在資產管理界的價值不下於取得美國前十名</w:t>
      </w:r>
      <w:r w:rsidRPr="00563460">
        <w:rPr>
          <w:rFonts w:ascii="微軟正黑體" w:eastAsia="微軟正黑體" w:hAnsi="微軟正黑體"/>
        </w:rPr>
        <w:t>MBA</w:t>
      </w:r>
      <w:r w:rsidRPr="00563460">
        <w:rPr>
          <w:rFonts w:ascii="微軟正黑體" w:eastAsia="微軟正黑體" w:hAnsi="微軟正黑體" w:hint="eastAsia"/>
        </w:rPr>
        <w:t>學位，故若英文程度不錯，建議於大三，大四即可開始準備</w:t>
      </w:r>
    </w:p>
    <w:p w:rsidR="00DE2C2D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/>
        </w:rPr>
        <w:t>L1</w:t>
      </w:r>
      <w:r w:rsidRPr="00563460">
        <w:rPr>
          <w:rFonts w:ascii="微軟正黑體" w:eastAsia="微軟正黑體" w:hAnsi="微軟正黑體" w:hint="eastAsia"/>
        </w:rPr>
        <w:t>之報名費，註冊費及相關費用合計近台幣</w:t>
      </w:r>
      <w:r w:rsidRPr="00563460">
        <w:rPr>
          <w:rFonts w:ascii="微軟正黑體" w:eastAsia="微軟正黑體" w:hAnsi="微軟正黑體"/>
        </w:rPr>
        <w:t>40,000</w:t>
      </w:r>
      <w:r w:rsidRPr="00563460">
        <w:rPr>
          <w:rFonts w:ascii="微軟正黑體" w:eastAsia="微軟正黑體" w:hAnsi="微軟正黑體" w:hint="eastAsia"/>
        </w:rPr>
        <w:t>元</w:t>
      </w:r>
    </w:p>
    <w:p w:rsidR="005D127A" w:rsidRPr="00563460" w:rsidRDefault="00DE2C2D" w:rsidP="00EA6551">
      <w:pPr>
        <w:pStyle w:val="a9"/>
        <w:widowControl/>
        <w:numPr>
          <w:ilvl w:val="0"/>
          <w:numId w:val="20"/>
        </w:numPr>
        <w:tabs>
          <w:tab w:val="clear" w:pos="1070"/>
          <w:tab w:val="num" w:pos="1134"/>
        </w:tabs>
        <w:spacing w:before="100" w:beforeAutospacing="1" w:after="100" w:afterAutospacing="1" w:line="340" w:lineRule="exact"/>
        <w:ind w:leftChars="0" w:left="1134" w:hanging="357"/>
        <w:rPr>
          <w:rFonts w:ascii="微軟正黑體" w:eastAsia="微軟正黑體" w:hAnsi="微軟正黑體"/>
        </w:rPr>
      </w:pPr>
      <w:r w:rsidRPr="00563460">
        <w:rPr>
          <w:rFonts w:ascii="微軟正黑體" w:eastAsia="微軟正黑體" w:hAnsi="微軟正黑體" w:hint="eastAsia"/>
        </w:rPr>
        <w:t>台灣目前取得</w:t>
      </w:r>
      <w:r w:rsidRPr="00563460">
        <w:rPr>
          <w:rFonts w:ascii="微軟正黑體" w:eastAsia="微軟正黑體" w:hAnsi="微軟正黑體"/>
        </w:rPr>
        <w:t>CFA</w:t>
      </w:r>
      <w:r w:rsidRPr="00563460">
        <w:rPr>
          <w:rFonts w:ascii="微軟正黑體" w:eastAsia="微軟正黑體" w:hAnsi="微軟正黑體" w:hint="eastAsia"/>
        </w:rPr>
        <w:t>之人數約</w:t>
      </w:r>
      <w:r w:rsidRPr="00563460">
        <w:rPr>
          <w:rFonts w:ascii="微軟正黑體" w:eastAsia="微軟正黑體" w:hAnsi="微軟正黑體"/>
        </w:rPr>
        <w:t>400</w:t>
      </w:r>
      <w:r w:rsidRPr="00563460">
        <w:rPr>
          <w:rFonts w:ascii="微軟正黑體" w:eastAsia="微軟正黑體" w:hAnsi="微軟正黑體" w:hint="eastAsia"/>
        </w:rPr>
        <w:t>人</w:t>
      </w:r>
    </w:p>
    <w:p w:rsidR="005D127A" w:rsidRPr="00DE2C2D" w:rsidRDefault="005D127A" w:rsidP="00DE2C2D">
      <w:pPr>
        <w:pStyle w:val="a9"/>
        <w:widowControl/>
        <w:numPr>
          <w:ilvl w:val="0"/>
          <w:numId w:val="20"/>
        </w:numPr>
        <w:spacing w:before="100" w:beforeAutospacing="1" w:after="100" w:afterAutospacing="1" w:line="360" w:lineRule="auto"/>
        <w:ind w:leftChars="0" w:left="1134"/>
        <w:sectPr w:rsidR="005D127A" w:rsidRPr="00DE2C2D" w:rsidSect="0079356E">
          <w:pgSz w:w="11906" w:h="16838" w:code="9"/>
          <w:pgMar w:top="1440" w:right="1701" w:bottom="1440" w:left="1701" w:header="851" w:footer="851" w:gutter="0"/>
          <w:cols w:space="425"/>
          <w:docGrid w:type="lines" w:linePitch="360"/>
        </w:sectPr>
      </w:pPr>
    </w:p>
    <w:p w:rsidR="005D127A" w:rsidRPr="00EA6551" w:rsidRDefault="005D127A" w:rsidP="005D127A">
      <w:pPr>
        <w:pStyle w:val="a9"/>
        <w:numPr>
          <w:ilvl w:val="0"/>
          <w:numId w:val="15"/>
        </w:numPr>
        <w:spacing w:before="100" w:beforeAutospacing="1" w:after="100" w:afterAutospacing="1" w:line="360" w:lineRule="auto"/>
        <w:ind w:leftChars="0" w:hanging="357"/>
        <w:rPr>
          <w:rFonts w:ascii="微軟正黑體" w:eastAsia="微軟正黑體" w:hAnsi="微軟正黑體" w:hint="eastAsia"/>
          <w:b/>
          <w:bCs/>
          <w:sz w:val="32"/>
          <w:szCs w:val="32"/>
        </w:rPr>
      </w:pPr>
      <w:r w:rsidRPr="00EA6551">
        <w:rPr>
          <w:rFonts w:ascii="微軟正黑體" w:eastAsia="微軟正黑體" w:hAnsi="微軟正黑體" w:hint="eastAsia"/>
          <w:b/>
          <w:bCs/>
          <w:sz w:val="32"/>
          <w:szCs w:val="32"/>
        </w:rPr>
        <w:lastRenderedPageBreak/>
        <w:t>就業：</w:t>
      </w:r>
    </w:p>
    <w:tbl>
      <w:tblPr>
        <w:tblW w:w="15275" w:type="dxa"/>
        <w:jc w:val="center"/>
        <w:tblCellMar>
          <w:left w:w="0" w:type="dxa"/>
          <w:right w:w="0" w:type="dxa"/>
        </w:tblCellMar>
        <w:tblLook w:val="04A0"/>
      </w:tblPr>
      <w:tblGrid>
        <w:gridCol w:w="568"/>
        <w:gridCol w:w="2926"/>
        <w:gridCol w:w="2073"/>
        <w:gridCol w:w="2835"/>
        <w:gridCol w:w="6873"/>
      </w:tblGrid>
      <w:tr w:rsidR="005D127A" w:rsidRPr="005D127A" w:rsidTr="001430D2">
        <w:trPr>
          <w:trHeight w:val="633"/>
          <w:tblHeader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rPr>
                <w:rFonts w:ascii="Arial" w:hAnsi="Arial" w:cs="Arial"/>
                <w:kern w:val="0"/>
                <w:sz w:val="36"/>
                <w:szCs w:val="36"/>
              </w:rPr>
            </w:pP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金融從業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證照名稱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考試科目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可銷售之金融商品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988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證券商業務人員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證券商業務人員業務員資格測驗合格證明書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or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投資型保險商品業務員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 w:rsidR="00BD60ED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A</w:t>
            </w:r>
            <w:r w:rsidR="00BD60ED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一、利率衍生性商品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二、債券衍生性商品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三、轉換公司債資產交換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四、結構型商品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股權連結型、保本型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五、認購認售權證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六、國內基金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七、國外基金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985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證券商高級業務人員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證券商業務人員高級業務員資格測驗合格證明書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一、利率衍生性商品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二、債券衍生性商品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三、轉換公司債資產交換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四、結構型商品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股權連結型、保本型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五、認購認售權證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六、國內基金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4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七、國外基金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證券投資分析人員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證券投資分析人員測驗合格證明書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50175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4</w:t>
            </w:r>
            <w:r w:rsidR="00B50175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5" w:left="605" w:hangingChars="203" w:hanging="569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一、有價證券、證券相關商品、國內基金、境外基金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5" w:left="605" w:hangingChars="203" w:hanging="569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二、提供研究分析或建議，辦理講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習課程或發行出版品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5" w:left="605" w:hangingChars="203" w:hanging="569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三、接受特定人委任從事全權委託證券交易業務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4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期貨商業務員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期貨商業務員資格測驗合格證明書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一、期貨商：期貨、選擇權、期貨選擇權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二、期貨顧問事業：提供研究分析或建議，辦理講習課程或發行出版品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三、期貨經理事業：接受特定人委任從事全權委託期貨交易業務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5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期貨交易分析人員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期貨交易分析人員資格測驗合格證明書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5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7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8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一、期貨商：期貨、選擇權、期貨選擇權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二、期貨顧問事業：提供研究分析或建議，辦理講習課程或發行出版品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ind w:leftChars="16" w:left="601" w:hangingChars="201" w:hanging="563"/>
              <w:textAlignment w:val="baseline"/>
              <w:rPr>
                <w:rFonts w:ascii="Arial" w:hAnsi="Arial" w:cs="Arial"/>
                <w:kern w:val="0"/>
                <w:sz w:val="36"/>
                <w:szCs w:val="36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三、期貨經理事業：接受特定人委任從事全權委託期貨交易業務</w:t>
            </w:r>
            <w:r w:rsidRPr="005D127A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6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投信投顧業務員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證券投資信託事業＆證券投資顧問事業資格測驗合格證明書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9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or</w:t>
            </w:r>
            <w:r w:rsidRPr="005D127A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信託業業務人員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9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一、國內基金、境外基金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二、提供研究分析或建議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三、接受特定人委任從事全權委託證券交易業務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7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股務人員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股務人員專業能力測驗合格證明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非屬銷售金融商品人員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)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8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票券商業務人員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票券商業務人員資格測驗合格證書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12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短期票券（國庫券、可轉讓定期存單、本票或匯票、一年期以下受益證券或資產基礎證券等）及相關衍生性金融商品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信託業業務人員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信託業業務人員信託業務專業測驗合格證明書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13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14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or</w:t>
            </w:r>
            <w:r w:rsidRPr="005D127A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投信投顧業務員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13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信託業業務相關金融商品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10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銀行具有業務或交易核准權限之各級主管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銀行內部控制與內部稽核測驗考試合格證書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15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16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非屬銷售金融商品人員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)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11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人身保險業務員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人身保險業務員資格測驗合格證書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17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人身保險商品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投資型保險商品除外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)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12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財產保險業務員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財產保險業務員資格測驗合格證書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18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財產保險商品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5D127A" w:rsidRPr="005D127A" w:rsidTr="001430D2">
        <w:trPr>
          <w:trHeight w:val="1030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5D127A">
            <w:pPr>
              <w:widowControl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13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投資型保險商品業務員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投資型保險商品業務員資格測驗合格證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BD60ED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17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19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="005D127A"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20</w:t>
            </w:r>
            <w:r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or</w:t>
            </w:r>
            <w:r w:rsidRPr="005D127A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證券商業務人員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17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+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(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>19</w:t>
            </w:r>
            <w:r w:rsidR="00BD60ED">
              <w:rPr>
                <w:rFonts w:hint="eastAsia"/>
                <w:b/>
                <w:bCs/>
                <w:color w:val="000000"/>
                <w:kern w:val="0"/>
                <w:sz w:val="28"/>
                <w:szCs w:val="28"/>
              </w:rPr>
              <w:t>)</w:t>
            </w:r>
            <w:r w:rsidRPr="005D127A">
              <w:rPr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6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7" w:type="dxa"/>
              <w:left w:w="144" w:type="dxa"/>
              <w:bottom w:w="120" w:type="dxa"/>
              <w:right w:w="144" w:type="dxa"/>
            </w:tcMar>
            <w:vAlign w:val="center"/>
            <w:hideMark/>
          </w:tcPr>
          <w:p w:rsidR="005D127A" w:rsidRPr="005D127A" w:rsidRDefault="005D127A" w:rsidP="00EA6551">
            <w:pPr>
              <w:widowControl/>
              <w:kinsoku w:val="0"/>
              <w:overflowPunct w:val="0"/>
              <w:spacing w:line="320" w:lineRule="exact"/>
              <w:textAlignment w:val="baseline"/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5D127A">
              <w:rPr>
                <w:rFonts w:hAnsi="新細明體" w:hint="eastAsia"/>
                <w:b/>
                <w:bCs/>
                <w:color w:val="000000"/>
                <w:kern w:val="0"/>
                <w:sz w:val="28"/>
                <w:szCs w:val="28"/>
              </w:rPr>
              <w:t>投資型保險商品</w:t>
            </w:r>
            <w:r w:rsidRPr="005D127A">
              <w:rPr>
                <w:rFonts w:hAnsi="新細明體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</w:tbl>
    <w:p w:rsidR="00DE2C2D" w:rsidRDefault="00DE2C2D" w:rsidP="001430D2">
      <w:pPr>
        <w:spacing w:before="100" w:beforeAutospacing="1" w:after="100" w:afterAutospacing="1" w:line="360" w:lineRule="auto"/>
      </w:pPr>
    </w:p>
    <w:sectPr w:rsidR="00DE2C2D" w:rsidSect="001430D2">
      <w:pgSz w:w="16838" w:h="11906" w:orient="landscape" w:code="9"/>
      <w:pgMar w:top="1701" w:right="1440" w:bottom="1276" w:left="1440" w:header="851" w:footer="851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829" w:rsidRDefault="008B6829" w:rsidP="009B36FD">
      <w:r>
        <w:separator/>
      </w:r>
    </w:p>
  </w:endnote>
  <w:endnote w:type="continuationSeparator" w:id="1">
    <w:p w:rsidR="008B6829" w:rsidRDefault="008B6829" w:rsidP="009B3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華康粗黑體">
    <w:panose1 w:val="020B0709000000000000"/>
    <w:charset w:val="88"/>
    <w:family w:val="modern"/>
    <w:pitch w:val="fixed"/>
    <w:sig w:usb0="A00002FF" w:usb1="38CFFDFA" w:usb2="00000016" w:usb3="00000000" w:csb0="00100001" w:csb1="00000000"/>
  </w:font>
  <w:font w:name="ArialUnicodeMS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829" w:rsidRDefault="008B6829" w:rsidP="009B36FD">
      <w:r>
        <w:separator/>
      </w:r>
    </w:p>
  </w:footnote>
  <w:footnote w:type="continuationSeparator" w:id="1">
    <w:p w:rsidR="008B6829" w:rsidRDefault="008B6829" w:rsidP="009B36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89C"/>
    <w:multiLevelType w:val="hybridMultilevel"/>
    <w:tmpl w:val="B720D7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671E3D"/>
    <w:multiLevelType w:val="hybridMultilevel"/>
    <w:tmpl w:val="8B76C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63562B"/>
    <w:multiLevelType w:val="hybridMultilevel"/>
    <w:tmpl w:val="CAF0044A"/>
    <w:lvl w:ilvl="0" w:tplc="0409000F">
      <w:start w:val="1"/>
      <w:numFmt w:val="decimal"/>
      <w:lvlText w:val="%1."/>
      <w:lvlJc w:val="left"/>
      <w:pPr>
        <w:ind w:left="20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50" w:hanging="480"/>
      </w:pPr>
    </w:lvl>
    <w:lvl w:ilvl="2" w:tplc="0409001B" w:tentative="1">
      <w:start w:val="1"/>
      <w:numFmt w:val="lowerRoman"/>
      <w:lvlText w:val="%3."/>
      <w:lvlJc w:val="right"/>
      <w:pPr>
        <w:ind w:left="3030" w:hanging="480"/>
      </w:pPr>
    </w:lvl>
    <w:lvl w:ilvl="3" w:tplc="0409000F" w:tentative="1">
      <w:start w:val="1"/>
      <w:numFmt w:val="decimal"/>
      <w:lvlText w:val="%4."/>
      <w:lvlJc w:val="left"/>
      <w:pPr>
        <w:ind w:left="35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0" w:hanging="480"/>
      </w:pPr>
    </w:lvl>
    <w:lvl w:ilvl="5" w:tplc="0409001B" w:tentative="1">
      <w:start w:val="1"/>
      <w:numFmt w:val="lowerRoman"/>
      <w:lvlText w:val="%6."/>
      <w:lvlJc w:val="right"/>
      <w:pPr>
        <w:ind w:left="4470" w:hanging="480"/>
      </w:pPr>
    </w:lvl>
    <w:lvl w:ilvl="6" w:tplc="0409000F" w:tentative="1">
      <w:start w:val="1"/>
      <w:numFmt w:val="decimal"/>
      <w:lvlText w:val="%7."/>
      <w:lvlJc w:val="left"/>
      <w:pPr>
        <w:ind w:left="49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0" w:hanging="480"/>
      </w:pPr>
    </w:lvl>
    <w:lvl w:ilvl="8" w:tplc="0409001B" w:tentative="1">
      <w:start w:val="1"/>
      <w:numFmt w:val="lowerRoman"/>
      <w:lvlText w:val="%9."/>
      <w:lvlJc w:val="right"/>
      <w:pPr>
        <w:ind w:left="5910" w:hanging="480"/>
      </w:pPr>
    </w:lvl>
  </w:abstractNum>
  <w:abstractNum w:abstractNumId="3">
    <w:nsid w:val="0D1D5531"/>
    <w:multiLevelType w:val="hybridMultilevel"/>
    <w:tmpl w:val="E79CCA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2282230"/>
    <w:multiLevelType w:val="hybridMultilevel"/>
    <w:tmpl w:val="819CA0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747315"/>
    <w:multiLevelType w:val="hybridMultilevel"/>
    <w:tmpl w:val="653AD6D8"/>
    <w:lvl w:ilvl="0" w:tplc="BF0A9E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50118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02D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22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C230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0A4D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C093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CD0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AA50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B45E23"/>
    <w:multiLevelType w:val="hybridMultilevel"/>
    <w:tmpl w:val="81147832"/>
    <w:lvl w:ilvl="0" w:tplc="986C12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842E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C8E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B653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4E32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022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FE51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6681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3856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BA3340"/>
    <w:multiLevelType w:val="hybridMultilevel"/>
    <w:tmpl w:val="9760E9F4"/>
    <w:lvl w:ilvl="0" w:tplc="991687B8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2BCA3176"/>
    <w:multiLevelType w:val="hybridMultilevel"/>
    <w:tmpl w:val="6186E536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388894A">
      <w:start w:val="1"/>
      <w:numFmt w:val="decimalFullWidth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8929F7"/>
    <w:multiLevelType w:val="hybridMultilevel"/>
    <w:tmpl w:val="502E4BE8"/>
    <w:lvl w:ilvl="0" w:tplc="3CD4E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388894A">
      <w:start w:val="1"/>
      <w:numFmt w:val="decimalFullWidth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ED67DED"/>
    <w:multiLevelType w:val="hybridMultilevel"/>
    <w:tmpl w:val="64906794"/>
    <w:lvl w:ilvl="0" w:tplc="1C204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81F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2A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AA7C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FEFE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E297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1812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643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580C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B74E9B"/>
    <w:multiLevelType w:val="hybridMultilevel"/>
    <w:tmpl w:val="1310A26A"/>
    <w:lvl w:ilvl="0" w:tplc="57805FE2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標楷體" w:eastAsia="標楷體" w:hAnsi="標楷體" w:hint="default"/>
      </w:rPr>
    </w:lvl>
    <w:lvl w:ilvl="1" w:tplc="04090003" w:tentative="1">
      <w:start w:val="1"/>
      <w:numFmt w:val="bullet"/>
      <w:lvlText w:val=""/>
      <w:lvlJc w:val="left"/>
      <w:pPr>
        <w:ind w:left="9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1" w:hanging="480"/>
      </w:pPr>
      <w:rPr>
        <w:rFonts w:ascii="Wingdings" w:hAnsi="Wingdings" w:hint="default"/>
      </w:rPr>
    </w:lvl>
  </w:abstractNum>
  <w:abstractNum w:abstractNumId="12">
    <w:nsid w:val="33DA668C"/>
    <w:multiLevelType w:val="hybridMultilevel"/>
    <w:tmpl w:val="7548DC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991687B8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FA57B5"/>
    <w:multiLevelType w:val="hybridMultilevel"/>
    <w:tmpl w:val="C2AEFE0C"/>
    <w:lvl w:ilvl="0" w:tplc="2124B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B77025E"/>
    <w:multiLevelType w:val="hybridMultilevel"/>
    <w:tmpl w:val="23E0C9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C525881"/>
    <w:multiLevelType w:val="hybridMultilevel"/>
    <w:tmpl w:val="07943C3A"/>
    <w:lvl w:ilvl="0" w:tplc="D0EA6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5F59FE"/>
    <w:multiLevelType w:val="hybridMultilevel"/>
    <w:tmpl w:val="23E0C9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3E0BFB"/>
    <w:multiLevelType w:val="hybridMultilevel"/>
    <w:tmpl w:val="C896C2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8897384"/>
    <w:multiLevelType w:val="hybridMultilevel"/>
    <w:tmpl w:val="A3C65E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C6048B6"/>
    <w:multiLevelType w:val="hybridMultilevel"/>
    <w:tmpl w:val="B720D7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D795B61"/>
    <w:multiLevelType w:val="hybridMultilevel"/>
    <w:tmpl w:val="72B4CDDE"/>
    <w:lvl w:ilvl="0" w:tplc="CF8CD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4064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FA68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6D88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8E2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34D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2503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9EC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384D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>
    <w:nsid w:val="4DA03F83"/>
    <w:multiLevelType w:val="hybridMultilevel"/>
    <w:tmpl w:val="66006466"/>
    <w:lvl w:ilvl="0" w:tplc="F7DC4A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707E5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EA37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5E52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C50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A53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2EE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E644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AB4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8869BB"/>
    <w:multiLevelType w:val="hybridMultilevel"/>
    <w:tmpl w:val="E6ECA1D8"/>
    <w:lvl w:ilvl="0" w:tplc="CF8CD61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新細明體" w:hAnsi="新細明體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80"/>
      </w:pPr>
      <w:rPr>
        <w:rFonts w:ascii="Wingdings" w:hAnsi="Wingdings" w:hint="default"/>
      </w:rPr>
    </w:lvl>
  </w:abstractNum>
  <w:abstractNum w:abstractNumId="23">
    <w:nsid w:val="5A414779"/>
    <w:multiLevelType w:val="hybridMultilevel"/>
    <w:tmpl w:val="6FFED3A6"/>
    <w:lvl w:ilvl="0" w:tplc="0409000F">
      <w:start w:val="1"/>
      <w:numFmt w:val="decimal"/>
      <w:lvlText w:val="%1."/>
      <w:lvlJc w:val="left"/>
      <w:pPr>
        <w:ind w:left="1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8" w:hanging="480"/>
      </w:pPr>
    </w:lvl>
    <w:lvl w:ilvl="2" w:tplc="0409001B" w:tentative="1">
      <w:start w:val="1"/>
      <w:numFmt w:val="lowerRoman"/>
      <w:lvlText w:val="%3."/>
      <w:lvlJc w:val="right"/>
      <w:pPr>
        <w:ind w:left="2438" w:hanging="480"/>
      </w:pPr>
    </w:lvl>
    <w:lvl w:ilvl="3" w:tplc="0409000F" w:tentative="1">
      <w:start w:val="1"/>
      <w:numFmt w:val="decimal"/>
      <w:lvlText w:val="%4."/>
      <w:lvlJc w:val="left"/>
      <w:pPr>
        <w:ind w:left="2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8" w:hanging="480"/>
      </w:pPr>
    </w:lvl>
    <w:lvl w:ilvl="5" w:tplc="0409001B" w:tentative="1">
      <w:start w:val="1"/>
      <w:numFmt w:val="lowerRoman"/>
      <w:lvlText w:val="%6."/>
      <w:lvlJc w:val="right"/>
      <w:pPr>
        <w:ind w:left="3878" w:hanging="480"/>
      </w:pPr>
    </w:lvl>
    <w:lvl w:ilvl="6" w:tplc="0409000F" w:tentative="1">
      <w:start w:val="1"/>
      <w:numFmt w:val="decimal"/>
      <w:lvlText w:val="%7."/>
      <w:lvlJc w:val="left"/>
      <w:pPr>
        <w:ind w:left="4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8" w:hanging="480"/>
      </w:pPr>
    </w:lvl>
    <w:lvl w:ilvl="8" w:tplc="0409001B" w:tentative="1">
      <w:start w:val="1"/>
      <w:numFmt w:val="lowerRoman"/>
      <w:lvlText w:val="%9."/>
      <w:lvlJc w:val="right"/>
      <w:pPr>
        <w:ind w:left="5318" w:hanging="480"/>
      </w:pPr>
    </w:lvl>
  </w:abstractNum>
  <w:abstractNum w:abstractNumId="24">
    <w:nsid w:val="5B383910"/>
    <w:multiLevelType w:val="hybridMultilevel"/>
    <w:tmpl w:val="CC4E6D54"/>
    <w:lvl w:ilvl="0" w:tplc="B866C5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941B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4499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E02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660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78CF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E823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28AD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FA69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168294E"/>
    <w:multiLevelType w:val="hybridMultilevel"/>
    <w:tmpl w:val="BDB8EE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45B4953"/>
    <w:multiLevelType w:val="hybridMultilevel"/>
    <w:tmpl w:val="3FB2D9FE"/>
    <w:lvl w:ilvl="0" w:tplc="04090013">
      <w:start w:val="1"/>
      <w:numFmt w:val="upperRoman"/>
      <w:lvlText w:val="%1."/>
      <w:lvlJc w:val="left"/>
      <w:pPr>
        <w:ind w:left="20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50" w:hanging="480"/>
      </w:pPr>
    </w:lvl>
    <w:lvl w:ilvl="2" w:tplc="0409001B" w:tentative="1">
      <w:start w:val="1"/>
      <w:numFmt w:val="lowerRoman"/>
      <w:lvlText w:val="%3."/>
      <w:lvlJc w:val="right"/>
      <w:pPr>
        <w:ind w:left="3030" w:hanging="480"/>
      </w:pPr>
    </w:lvl>
    <w:lvl w:ilvl="3" w:tplc="0409000F" w:tentative="1">
      <w:start w:val="1"/>
      <w:numFmt w:val="decimal"/>
      <w:lvlText w:val="%4."/>
      <w:lvlJc w:val="left"/>
      <w:pPr>
        <w:ind w:left="35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0" w:hanging="480"/>
      </w:pPr>
    </w:lvl>
    <w:lvl w:ilvl="5" w:tplc="0409001B" w:tentative="1">
      <w:start w:val="1"/>
      <w:numFmt w:val="lowerRoman"/>
      <w:lvlText w:val="%6."/>
      <w:lvlJc w:val="right"/>
      <w:pPr>
        <w:ind w:left="4470" w:hanging="480"/>
      </w:pPr>
    </w:lvl>
    <w:lvl w:ilvl="6" w:tplc="0409000F" w:tentative="1">
      <w:start w:val="1"/>
      <w:numFmt w:val="decimal"/>
      <w:lvlText w:val="%7."/>
      <w:lvlJc w:val="left"/>
      <w:pPr>
        <w:ind w:left="49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0" w:hanging="480"/>
      </w:pPr>
    </w:lvl>
    <w:lvl w:ilvl="8" w:tplc="0409001B" w:tentative="1">
      <w:start w:val="1"/>
      <w:numFmt w:val="lowerRoman"/>
      <w:lvlText w:val="%9."/>
      <w:lvlJc w:val="right"/>
      <w:pPr>
        <w:ind w:left="5910" w:hanging="480"/>
      </w:pPr>
    </w:lvl>
  </w:abstractNum>
  <w:abstractNum w:abstractNumId="27">
    <w:nsid w:val="6DAA619A"/>
    <w:multiLevelType w:val="hybridMultilevel"/>
    <w:tmpl w:val="12BAD4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F380FB2"/>
    <w:multiLevelType w:val="hybridMultilevel"/>
    <w:tmpl w:val="C7F6A8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4BF2402"/>
    <w:multiLevelType w:val="hybridMultilevel"/>
    <w:tmpl w:val="54F241E2"/>
    <w:lvl w:ilvl="0" w:tplc="04090011">
      <w:start w:val="1"/>
      <w:numFmt w:val="upperLetter"/>
      <w:lvlText w:val="%1."/>
      <w:lvlJc w:val="left"/>
      <w:pPr>
        <w:ind w:left="175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16"/>
  </w:num>
  <w:num w:numId="5">
    <w:abstractNumId w:val="3"/>
  </w:num>
  <w:num w:numId="6">
    <w:abstractNumId w:val="18"/>
  </w:num>
  <w:num w:numId="7">
    <w:abstractNumId w:val="25"/>
  </w:num>
  <w:num w:numId="8">
    <w:abstractNumId w:val="28"/>
  </w:num>
  <w:num w:numId="9">
    <w:abstractNumId w:val="19"/>
  </w:num>
  <w:num w:numId="10">
    <w:abstractNumId w:val="0"/>
  </w:num>
  <w:num w:numId="11">
    <w:abstractNumId w:val="13"/>
  </w:num>
  <w:num w:numId="12">
    <w:abstractNumId w:val="15"/>
  </w:num>
  <w:num w:numId="13">
    <w:abstractNumId w:val="20"/>
  </w:num>
  <w:num w:numId="14">
    <w:abstractNumId w:val="27"/>
  </w:num>
  <w:num w:numId="15">
    <w:abstractNumId w:val="9"/>
  </w:num>
  <w:num w:numId="16">
    <w:abstractNumId w:val="10"/>
  </w:num>
  <w:num w:numId="17">
    <w:abstractNumId w:val="24"/>
  </w:num>
  <w:num w:numId="18">
    <w:abstractNumId w:val="5"/>
  </w:num>
  <w:num w:numId="19">
    <w:abstractNumId w:val="22"/>
  </w:num>
  <w:num w:numId="20">
    <w:abstractNumId w:val="11"/>
  </w:num>
  <w:num w:numId="21">
    <w:abstractNumId w:val="6"/>
  </w:num>
  <w:num w:numId="22">
    <w:abstractNumId w:val="21"/>
  </w:num>
  <w:num w:numId="23">
    <w:abstractNumId w:val="7"/>
  </w:num>
  <w:num w:numId="24">
    <w:abstractNumId w:val="12"/>
  </w:num>
  <w:num w:numId="25">
    <w:abstractNumId w:val="17"/>
  </w:num>
  <w:num w:numId="26">
    <w:abstractNumId w:val="23"/>
  </w:num>
  <w:num w:numId="27">
    <w:abstractNumId w:val="2"/>
  </w:num>
  <w:num w:numId="28">
    <w:abstractNumId w:val="29"/>
  </w:num>
  <w:num w:numId="29">
    <w:abstractNumId w:val="26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2">
      <o:colormru v:ext="edit" colors="#37c810,#4bb226,#89c32b,#8fd53b"/>
      <o:colormenu v:ext="edit" fillcolor="none [1943]" strokecolor="none [2405]" shadow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36FD"/>
    <w:rsid w:val="00027D04"/>
    <w:rsid w:val="000B7D6B"/>
    <w:rsid w:val="00124F13"/>
    <w:rsid w:val="001251AA"/>
    <w:rsid w:val="00141D62"/>
    <w:rsid w:val="001430D2"/>
    <w:rsid w:val="001432AE"/>
    <w:rsid w:val="00145CA8"/>
    <w:rsid w:val="001C079F"/>
    <w:rsid w:val="00263DF1"/>
    <w:rsid w:val="002E0251"/>
    <w:rsid w:val="00314646"/>
    <w:rsid w:val="00332624"/>
    <w:rsid w:val="004719FA"/>
    <w:rsid w:val="004A2CFC"/>
    <w:rsid w:val="004F2546"/>
    <w:rsid w:val="00512278"/>
    <w:rsid w:val="00533A26"/>
    <w:rsid w:val="00563460"/>
    <w:rsid w:val="005937ED"/>
    <w:rsid w:val="005D0E1B"/>
    <w:rsid w:val="005D127A"/>
    <w:rsid w:val="005D6676"/>
    <w:rsid w:val="006473EE"/>
    <w:rsid w:val="00672334"/>
    <w:rsid w:val="006D07CD"/>
    <w:rsid w:val="00702194"/>
    <w:rsid w:val="00707711"/>
    <w:rsid w:val="00726EE4"/>
    <w:rsid w:val="00730582"/>
    <w:rsid w:val="007454E6"/>
    <w:rsid w:val="00753BB6"/>
    <w:rsid w:val="0079356E"/>
    <w:rsid w:val="00797E45"/>
    <w:rsid w:val="007A0195"/>
    <w:rsid w:val="007D6DF3"/>
    <w:rsid w:val="007E4E25"/>
    <w:rsid w:val="0082275E"/>
    <w:rsid w:val="00825E01"/>
    <w:rsid w:val="00892551"/>
    <w:rsid w:val="008A406D"/>
    <w:rsid w:val="008B6829"/>
    <w:rsid w:val="008C33EE"/>
    <w:rsid w:val="009050CF"/>
    <w:rsid w:val="00955ADA"/>
    <w:rsid w:val="009739C6"/>
    <w:rsid w:val="009802CC"/>
    <w:rsid w:val="00980C1D"/>
    <w:rsid w:val="00996E81"/>
    <w:rsid w:val="009B36FD"/>
    <w:rsid w:val="009D4961"/>
    <w:rsid w:val="00A10A4C"/>
    <w:rsid w:val="00A13F2F"/>
    <w:rsid w:val="00A35B53"/>
    <w:rsid w:val="00A653F9"/>
    <w:rsid w:val="00A901C0"/>
    <w:rsid w:val="00AB6858"/>
    <w:rsid w:val="00AC2E17"/>
    <w:rsid w:val="00AF3678"/>
    <w:rsid w:val="00AF57F3"/>
    <w:rsid w:val="00B50175"/>
    <w:rsid w:val="00B560D0"/>
    <w:rsid w:val="00B76694"/>
    <w:rsid w:val="00BB5CFD"/>
    <w:rsid w:val="00BD60ED"/>
    <w:rsid w:val="00C146BA"/>
    <w:rsid w:val="00CF382F"/>
    <w:rsid w:val="00D449B1"/>
    <w:rsid w:val="00D60523"/>
    <w:rsid w:val="00D84869"/>
    <w:rsid w:val="00DC1697"/>
    <w:rsid w:val="00DE2C2D"/>
    <w:rsid w:val="00E07855"/>
    <w:rsid w:val="00E74195"/>
    <w:rsid w:val="00E84373"/>
    <w:rsid w:val="00EA4AC9"/>
    <w:rsid w:val="00EA6551"/>
    <w:rsid w:val="00EE31C9"/>
    <w:rsid w:val="00F039FD"/>
    <w:rsid w:val="00FA5C9E"/>
    <w:rsid w:val="00FE1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37c810,#4bb226,#89c32b,#8fd53b"/>
      <o:colormenu v:ext="edit" fillcolor="none [1943]" strokecolor="none [2405]" shadowcolor="none"/>
    </o:shapedefaults>
    <o:shapelayout v:ext="edit">
      <o:idmap v:ext="edit" data="2"/>
      <o:rules v:ext="edit">
        <o:r id="V:Rule24" type="connector" idref="#_s2145">
          <o:proxy start="" idref="#_s2175" connectloc="1"/>
          <o:proxy end="" idref="#_s2163" connectloc="3"/>
        </o:r>
        <o:r id="V:Rule25" type="connector" idref="#_x0000_s2206"/>
        <o:r id="V:Rule26" type="connector" idref="#_s2160"/>
        <o:r id="V:Rule27" type="connector" idref="#_s2146">
          <o:proxy start="" idref="#_s2175" connectloc="1"/>
          <o:proxy end="" idref="#_s2163" connectloc="3"/>
        </o:r>
        <o:r id="V:Rule28" type="connector" idref="#_s2142"/>
        <o:r id="V:Rule29" type="connector" idref="#_s2147">
          <o:proxy start="" idref="#_s2175" connectloc="1"/>
          <o:proxy end="" idref="#_s2163" connectloc="3"/>
        </o:r>
        <o:r id="V:Rule30" type="connector" idref="#_s2140">
          <o:proxy start="" idref="#_s2190" connectloc="1"/>
          <o:proxy end="" idref="#_s2188" connectloc="3"/>
        </o:r>
        <o:r id="V:Rule31" type="connector" idref="#_s2143">
          <o:proxy start="" idref="#_s2187" connectloc="1"/>
          <o:proxy end="" idref="#_s2179" connectloc="3"/>
        </o:r>
        <o:r id="V:Rule32" type="connector" idref="#_x0000_s2185">
          <o:proxy start="" idref="#_s2175" connectloc="3"/>
          <o:proxy end="" idref="#_s2174" connectloc="1"/>
        </o:r>
        <o:r id="V:Rule33" type="connector" idref="#_s2150">
          <o:proxy start="" idref="#_s2178" connectloc="1"/>
          <o:proxy end="" idref="#_s2189" connectloc="3"/>
        </o:r>
        <o:r id="V:Rule34" type="connector" idref="#_s2151">
          <o:proxy start="" idref="#_s2163" connectloc="3"/>
          <o:proxy end="" idref="#_s2175" connectloc="1"/>
        </o:r>
        <o:r id="V:Rule35" type="connector" idref="#_s2141">
          <o:proxy start="" idref="#_s2189" connectloc="1"/>
          <o:proxy end="" idref="#_s2169" connectloc="3"/>
        </o:r>
        <o:r id="V:Rule36" type="connector" idref="#_s2161">
          <o:proxy start="" idref="#_s2163" connectloc="1"/>
          <o:proxy end="" idref="#_s2162" connectloc="3"/>
        </o:r>
        <o:r id="V:Rule37" type="connector" idref="#_s2153">
          <o:proxy start="" idref="#_s2175" connectloc="1"/>
          <o:proxy end="" idref="#_s2163" connectloc="3"/>
        </o:r>
        <o:r id="V:Rule38" type="connector" idref="#_s2155">
          <o:proxy start="" idref="#_s2169" connectloc="1"/>
        </o:r>
        <o:r id="V:Rule39" type="connector" idref="#_x0000_s2181">
          <o:proxy start="" idref="#_s2175" connectloc="3"/>
          <o:proxy end="" idref="#_s2172" connectloc="1"/>
        </o:r>
        <o:r id="V:Rule40" type="connector" idref="#_s2149">
          <o:proxy start="" idref="#_s2179" connectloc="1"/>
          <o:proxy end="" idref="#_s2189" connectloc="3"/>
        </o:r>
        <o:r id="V:Rule41" type="connector" idref="#_s2148">
          <o:proxy start="" idref="#_s2175" connectloc="1"/>
          <o:proxy end="" idref="#_s2163" connectloc="3"/>
        </o:r>
        <o:r id="V:Rule42" type="connector" idref="#_x0000_s2180">
          <o:proxy start="" idref="#_s2175" connectloc="0"/>
          <o:proxy end="" idref="#_s2171" connectloc="2"/>
        </o:r>
        <o:r id="V:Rule43" type="connector" idref="#_s2144">
          <o:proxy start="" idref="#_s2186" connectloc="1"/>
          <o:proxy end="" idref="#_s2179" connectloc="3"/>
        </o:r>
        <o:r id="V:Rule44" type="connector" idref="#_s2154">
          <o:proxy start="" idref="#_s2170" connectloc="1"/>
          <o:proxy end="" idref="#_s2163" connectloc="3"/>
        </o:r>
        <o:r id="V:Rule45" type="connector" idref="#_s2139">
          <o:proxy start="" idref="#_s2191" connectloc="1"/>
          <o:proxy end="" idref="#_s2189" connectloc="3"/>
        </o:r>
        <o:r id="V:Rule46" type="connector" idref="#_x0000_s2184">
          <o:proxy start="" idref="#_s2175" connectloc="3"/>
          <o:proxy end="" idref="#_s2173" connectloc="1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F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36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36F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36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36FD"/>
    <w:rPr>
      <w:sz w:val="20"/>
      <w:szCs w:val="20"/>
    </w:rPr>
  </w:style>
  <w:style w:type="paragraph" w:styleId="Web">
    <w:name w:val="Normal (Web)"/>
    <w:basedOn w:val="a"/>
    <w:uiPriority w:val="99"/>
    <w:rsid w:val="009B36F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9B36FD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B36FD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B36FD"/>
    <w:pPr>
      <w:ind w:leftChars="200" w:left="480"/>
    </w:pPr>
  </w:style>
  <w:style w:type="paragraph" w:styleId="aa">
    <w:name w:val="No Spacing"/>
    <w:link w:val="ab"/>
    <w:uiPriority w:val="1"/>
    <w:qFormat/>
    <w:rsid w:val="00AF3678"/>
    <w:rPr>
      <w:sz w:val="22"/>
      <w:szCs w:val="22"/>
    </w:rPr>
  </w:style>
  <w:style w:type="character" w:customStyle="1" w:styleId="ab">
    <w:name w:val="無間距 字元"/>
    <w:basedOn w:val="a0"/>
    <w:link w:val="aa"/>
    <w:uiPriority w:val="1"/>
    <w:rsid w:val="00AF3678"/>
    <w:rPr>
      <w:sz w:val="22"/>
      <w:szCs w:val="22"/>
      <w:lang w:val="en-US" w:eastAsia="zh-TW" w:bidi="ar-SA"/>
    </w:rPr>
  </w:style>
  <w:style w:type="character" w:customStyle="1" w:styleId="mailheadertext1">
    <w:name w:val="mailheadertext1"/>
    <w:basedOn w:val="a0"/>
    <w:rsid w:val="009D4961"/>
    <w:rPr>
      <w:i w:val="0"/>
      <w:iCs w:val="0"/>
      <w:color w:val="353531"/>
      <w:sz w:val="18"/>
      <w:szCs w:val="18"/>
    </w:rPr>
  </w:style>
  <w:style w:type="character" w:styleId="ac">
    <w:name w:val="Hyperlink"/>
    <w:basedOn w:val="a0"/>
    <w:uiPriority w:val="99"/>
    <w:unhideWhenUsed/>
    <w:rsid w:val="00FA5C9E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FA5C9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79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4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2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13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12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0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84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9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83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01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11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28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090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5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43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80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90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95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5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niv.edu.tw/index1.htm" TargetMode="External"/><Relationship Id="rId18" Type="http://schemas.openxmlformats.org/officeDocument/2006/relationships/image" Target="media/image6.emf"/><Relationship Id="rId26" Type="http://schemas.openxmlformats.org/officeDocument/2006/relationships/hyperlink" Target="http://www.iiroc.org.tw" TargetMode="Externa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PowerPoint____3.sldx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package" Target="embeddings/Microsoft_Office_PowerPoint____1.sldx"/><Relationship Id="rId25" Type="http://schemas.openxmlformats.org/officeDocument/2006/relationships/hyperlink" Target="http://www.sfi.org.t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tabf.org.t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163.29.140.81/careerguide/ind/occ_index.asp?section_id=2" TargetMode="External"/><Relationship Id="rId23" Type="http://schemas.openxmlformats.org/officeDocument/2006/relationships/package" Target="embeddings/Microsoft_Office_PowerPoint____4.sldx"/><Relationship Id="rId28" Type="http://schemas.openxmlformats.org/officeDocument/2006/relationships/hyperlink" Target="http://www.nlia.org.tw" TargetMode="External"/><Relationship Id="rId10" Type="http://schemas.openxmlformats.org/officeDocument/2006/relationships/image" Target="media/image2.jpeg"/><Relationship Id="rId19" Type="http://schemas.openxmlformats.org/officeDocument/2006/relationships/package" Target="embeddings/Microsoft_Office_PowerPoint____2.sldx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http://grad&#8208;schools.usnews.rankingsandreviews.com/best&#8208;graduate&#8208;schools/topbusiness&#8208;schools" TargetMode="External"/><Relationship Id="rId22" Type="http://schemas.openxmlformats.org/officeDocument/2006/relationships/image" Target="media/image8.emf"/><Relationship Id="rId27" Type="http://schemas.openxmlformats.org/officeDocument/2006/relationships/hyperlink" Target="http://www.lia-roc.org.t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2010-06-10T00:00:00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8BF4CC-FF48-4612-81C5-6161CBBD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644</Words>
  <Characters>3677</Characters>
  <Application>Microsoft Office Word</Application>
  <DocSecurity>0</DocSecurity>
  <Lines>30</Lines>
  <Paragraphs>8</Paragraphs>
  <ScaleCrop>false</ScaleCrop>
  <Company>財務金融學系</Company>
  <LinksUpToDate>false</LinksUpToDate>
  <CharactersWithSpaces>4313</CharactersWithSpaces>
  <SharedDoc>false</SharedDoc>
  <HLinks>
    <vt:vector size="48" baseType="variant">
      <vt:variant>
        <vt:i4>2687009</vt:i4>
      </vt:variant>
      <vt:variant>
        <vt:i4>33</vt:i4>
      </vt:variant>
      <vt:variant>
        <vt:i4>0</vt:i4>
      </vt:variant>
      <vt:variant>
        <vt:i4>5</vt:i4>
      </vt:variant>
      <vt:variant>
        <vt:lpwstr>http://www.nlia.org.tw/</vt:lpwstr>
      </vt:variant>
      <vt:variant>
        <vt:lpwstr/>
      </vt:variant>
      <vt:variant>
        <vt:i4>6553726</vt:i4>
      </vt:variant>
      <vt:variant>
        <vt:i4>30</vt:i4>
      </vt:variant>
      <vt:variant>
        <vt:i4>0</vt:i4>
      </vt:variant>
      <vt:variant>
        <vt:i4>5</vt:i4>
      </vt:variant>
      <vt:variant>
        <vt:lpwstr>http://www.lia-roc.org.tw/</vt:lpwstr>
      </vt:variant>
      <vt:variant>
        <vt:lpwstr/>
      </vt:variant>
      <vt:variant>
        <vt:i4>83</vt:i4>
      </vt:variant>
      <vt:variant>
        <vt:i4>27</vt:i4>
      </vt:variant>
      <vt:variant>
        <vt:i4>0</vt:i4>
      </vt:variant>
      <vt:variant>
        <vt:i4>5</vt:i4>
      </vt:variant>
      <vt:variant>
        <vt:lpwstr>http://www.iiroc.org.tw/</vt:lpwstr>
      </vt:variant>
      <vt:variant>
        <vt:lpwstr/>
      </vt:variant>
      <vt:variant>
        <vt:i4>6422579</vt:i4>
      </vt:variant>
      <vt:variant>
        <vt:i4>24</vt:i4>
      </vt:variant>
      <vt:variant>
        <vt:i4>0</vt:i4>
      </vt:variant>
      <vt:variant>
        <vt:i4>5</vt:i4>
      </vt:variant>
      <vt:variant>
        <vt:lpwstr>http://www.sfi.org.tw/</vt:lpwstr>
      </vt:variant>
      <vt:variant>
        <vt:lpwstr/>
      </vt:variant>
      <vt:variant>
        <vt:i4>3670059</vt:i4>
      </vt:variant>
      <vt:variant>
        <vt:i4>21</vt:i4>
      </vt:variant>
      <vt:variant>
        <vt:i4>0</vt:i4>
      </vt:variant>
      <vt:variant>
        <vt:i4>5</vt:i4>
      </vt:variant>
      <vt:variant>
        <vt:lpwstr>http://www.tabf.org.tw/</vt:lpwstr>
      </vt:variant>
      <vt:variant>
        <vt:lpwstr/>
      </vt:variant>
      <vt:variant>
        <vt:i4>2555943</vt:i4>
      </vt:variant>
      <vt:variant>
        <vt:i4>6</vt:i4>
      </vt:variant>
      <vt:variant>
        <vt:i4>0</vt:i4>
      </vt:variant>
      <vt:variant>
        <vt:i4>5</vt:i4>
      </vt:variant>
      <vt:variant>
        <vt:lpwstr>http://163.29.140.81/careerguide/ind/occ_index.asp?section_id=2</vt:lpwstr>
      </vt:variant>
      <vt:variant>
        <vt:lpwstr/>
      </vt:variant>
      <vt:variant>
        <vt:i4>541990993</vt:i4>
      </vt:variant>
      <vt:variant>
        <vt:i4>3</vt:i4>
      </vt:variant>
      <vt:variant>
        <vt:i4>0</vt:i4>
      </vt:variant>
      <vt:variant>
        <vt:i4>5</vt:i4>
      </vt:variant>
      <vt:variant>
        <vt:lpwstr>http://grad‐schools.usnews.rankingsandreviews.com/best‐graduate‐schools/topbusiness‐schools</vt:lpwstr>
      </vt:variant>
      <vt:variant>
        <vt:lpwstr/>
      </vt:variant>
      <vt:variant>
        <vt:i4>720904</vt:i4>
      </vt:variant>
      <vt:variant>
        <vt:i4>0</vt:i4>
      </vt:variant>
      <vt:variant>
        <vt:i4>0</vt:i4>
      </vt:variant>
      <vt:variant>
        <vt:i4>5</vt:i4>
      </vt:variant>
      <vt:variant>
        <vt:lpwstr>http://univ.edu.tw/index1.htm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課程地圖及生涯進路圖</dc:title>
  <dc:creator>99學年度</dc:creator>
  <cp:lastModifiedBy>USER</cp:lastModifiedBy>
  <cp:revision>2</cp:revision>
  <cp:lastPrinted>2010-06-08T09:30:00Z</cp:lastPrinted>
  <dcterms:created xsi:type="dcterms:W3CDTF">2011-01-14T03:19:00Z</dcterms:created>
  <dcterms:modified xsi:type="dcterms:W3CDTF">2011-01-14T03:19:00Z</dcterms:modified>
</cp:coreProperties>
</file>